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国等による障害者就労施設等からの物品等の調達の推進等に関する法律施行令</w:t>
        <w:br/>
        <w:t>（平成二十五年政令第二十二号）</w:t>
      </w:r>
    </w:p>
    <w:p>
      <w:pPr>
        <w:pStyle w:val="Heading4"/>
      </w:pPr>
      <w:r>
        <w:t>第一条（法第二条第二項第三号の政令で定める事業所）</w:t>
      </w:r>
    </w:p>
    <w:p>
      <w:r>
        <w:t>国等による障害者就労施設等からの物品等の調達の推進等に関する法律（以下「法」という。）第二条第二項第三号の政令で定める事業所は、次のとおりとする。</w:t>
      </w:r>
    </w:p>
    <w:p>
      <w:pPr>
        <w:pStyle w:val="Heading6"/>
        <w:ind w:left="880"/>
      </w:pPr>
      <w:r>
        <w:t>一</w:t>
      </w:r>
    </w:p>
    <w:p>
      <w:pPr>
        <w:ind w:left="880"/>
      </w:pPr>
      <w:r>
        <w:t>障害者の雇用の促進等に関する法律（昭和三十五年法律第百二十三号）第四十四条第一項の認定に係る同項に規定する子会社の事業所</w:t>
      </w:r>
    </w:p>
    <w:p>
      <w:pPr>
        <w:pStyle w:val="Heading6"/>
        <w:ind w:left="880"/>
      </w:pPr>
      <w:r>
        <w:t>二</w:t>
      </w:r>
    </w:p>
    <w:p>
      <w:pPr>
        <w:ind w:left="880"/>
      </w:pPr>
      <w:r>
        <w:t>次に掲げる要件の全てを満たす事業所</w:t>
      </w:r>
    </w:p>
    <w:p>
      <w:pPr>
        <w:pStyle w:val="Heading4"/>
      </w:pPr>
      <w:r>
        <w:t>第二条（法第二条第五項の政令で定める法人）</w:t>
      </w:r>
    </w:p>
    <w:p>
      <w:r>
        <w:t>法第二条第五項の政令で定める法人は、次のとおりとする。</w:t>
      </w:r>
    </w:p>
    <w:p>
      <w:pPr>
        <w:pStyle w:val="Heading6"/>
        <w:ind w:left="880"/>
      </w:pPr>
      <w:r>
        <w:t>一</w:t>
      </w:r>
    </w:p>
    <w:p>
      <w:pPr>
        <w:ind w:left="880"/>
      </w:pPr>
      <w: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Heading6"/>
        <w:ind w:left="880"/>
      </w:pPr>
      <w:r>
        <w:t>二</w:t>
      </w:r>
    </w:p>
    <w:p>
      <w:pPr>
        <w:ind w:left="880"/>
      </w:pPr>
      <w:r>
        <w:t>日本私立学校振興・共済事業団</w:t>
      </w:r>
    </w:p>
    <w:p>
      <w:pPr>
        <w:pStyle w:val="Heading6"/>
        <w:ind w:left="880"/>
      </w:pPr>
      <w:r>
        <w:t>三</w:t>
      </w:r>
    </w:p>
    <w:p>
      <w:pPr>
        <w:ind w:left="880"/>
      </w:pPr>
      <w:r>
        <w:t>沖縄振興開発金融公庫</w:t>
      </w:r>
    </w:p>
    <w:p>
      <w:pPr>
        <w:pStyle w:val="Heading6"/>
        <w:ind w:left="880"/>
      </w:pPr>
      <w:r>
        <w:t>四</w:t>
      </w:r>
    </w:p>
    <w:p>
      <w:pPr>
        <w:ind w:left="880"/>
      </w:pPr>
      <w:r>
        <w:t>株式会社国際協力銀行及び株式会社日本政策金融公庫</w:t>
      </w:r>
    </w:p>
    <w:p>
      <w:pPr>
        <w:pStyle w:val="Heading6"/>
        <w:ind w:left="880"/>
      </w:pPr>
      <w:r>
        <w:t>五</w:t>
      </w:r>
    </w:p>
    <w:p>
      <w:pPr>
        <w:ind w:left="880"/>
      </w:pPr>
      <w:r>
        <w:t>日本中央競馬会及び日本年金機構</w:t>
      </w:r>
    </w:p>
    <w:p>
      <w:r>
        <w:br w:type="page"/>
      </w:r>
    </w:p>
    <w:p>
      <w:pPr>
        <w:pStyle w:val="Heading1"/>
      </w:pPr>
      <w:r>
        <w:t>附　則</w:t>
      </w:r>
    </w:p>
    <w:p>
      <w:r>
        <w:t>この政令は、平成二十五年四月一日から施行する。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国等による障害者就労施設等からの物品等の調達の推進等に関する法律施行令</w:t>
      <w:br/>
      <w:tab/>
      <w:t>（平成二十五年政令第二十二号）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国等による障害者就労施設等からの物品等の調達の推進等に関する法律施行令（平成二十五年政令第二十二号）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