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国際復興開発銀行等からの外資の受入に関する特別措置に関する法律に規定する主務大臣を定める政令</w:t>
        <w:br/>
        <w:t>（昭和四十年政令第二百四号）</w:t>
      </w:r>
    </w:p>
    <w:p>
      <w:r>
        <w:t>国際復興開発銀行等からの外資の受入に関する特別措置に関する法律第三条第二項に規定する政令で定める主務大臣は、同法第二条第二項に規定する外貨債で、地方公共団体が発行するものにあつては総務大臣、地方公共団体金融機構が発行するものにあつては総務大臣及び財務大臣、独立行政法人日本高速道路保有・債務返済機構が発行するものにあつては国土交通大臣とする。</w:t>
      </w:r>
    </w:p>
    <w:p>
      <w:r>
        <w:br w:type="page"/>
      </w:r>
    </w:p>
    <w:p>
      <w:pPr>
        <w:pStyle w:val="Heading1"/>
      </w:pPr>
      <w:r>
        <w:t>附　則</w:t>
      </w:r>
    </w:p>
    <w:p>
      <w:r>
        <w:t>この政令は、公布の日から施行する。</w:t>
      </w:r>
    </w:p>
    <w:p>
      <w:r>
        <w:br w:type="page"/>
      </w:r>
    </w:p>
    <w:p>
      <w:pPr>
        <w:pStyle w:val="Heading1"/>
      </w:pPr>
      <w:r>
        <w:t>附　則（昭和四〇年八月二七日政令第二八八号）</w:t>
      </w:r>
    </w:p>
    <w:p>
      <w:r>
        <w:t>この政令は、公布の日から施行する。</w:t>
      </w:r>
    </w:p>
    <w:p>
      <w:r>
        <w:br w:type="page"/>
      </w:r>
    </w:p>
    <w:p>
      <w:pPr>
        <w:pStyle w:val="Heading1"/>
      </w:pPr>
      <w:r>
        <w:t>附　則（昭和四三年五月二七日政令第一三四号）</w:t>
      </w:r>
    </w:p>
    <w:p>
      <w:r>
        <w:t>この政令は、公布の日から施行する。</w:t>
      </w:r>
    </w:p>
    <w:p>
      <w:r>
        <w:br w:type="page"/>
      </w:r>
    </w:p>
    <w:p>
      <w:pPr>
        <w:pStyle w:val="Heading1"/>
      </w:pPr>
      <w:r>
        <w:t>附　則（昭和四三年八月二七日政令第二七五号）</w:t>
      </w:r>
    </w:p>
    <w:p>
      <w:r>
        <w:t>この政令は、昭和四十三年十月一日から施行する。</w:t>
      </w:r>
    </w:p>
    <w:p>
      <w:r>
        <w:br w:type="page"/>
      </w:r>
    </w:p>
    <w:p>
      <w:pPr>
        <w:pStyle w:val="Heading1"/>
      </w:pPr>
      <w:r>
        <w:t>附　則（昭和五五年一〇月一一日政令第二六二号）</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　則（昭和五八年七月八日政令第一五六号）</w:t>
      </w:r>
    </w:p>
    <w:p>
      <w:r>
        <w:t>この政令は、公布の日から施行する。</w:t>
      </w:r>
    </w:p>
    <w:p>
      <w:r>
        <w:br w:type="page"/>
      </w:r>
    </w:p>
    <w:p>
      <w:pPr>
        <w:pStyle w:val="Heading1"/>
      </w:pPr>
      <w:r>
        <w:t>附　則（昭和五九年一〇月一三日政令第三〇二号）</w:t>
      </w:r>
    </w:p>
    <w:p>
      <w:r>
        <w:t>この政令は、公布の日から施行する。</w:t>
      </w:r>
    </w:p>
    <w:p>
      <w:r>
        <w:br w:type="page"/>
      </w:r>
    </w:p>
    <w:p>
      <w:pPr>
        <w:pStyle w:val="Heading1"/>
      </w:pPr>
      <w:r>
        <w:t>附　則（平成二年六月二九日政令第一九〇号）</w:t>
      </w:r>
    </w:p>
    <w:p>
      <w:r>
        <w:t>この政令は、公布の日から施行する。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国際復興開発銀行等からの外資の受入に関する特別措置に関する法律に規定する主務大臣を定める政令</w:t>
      <w:br/>
      <w:tab/>
      <w:t>（昭和四十年政令第二百四号）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国際復興開発銀行等からの外資の受入に関する特別措置に関する法律に規定する主務大臣を定める政令（昭和四十年政令第二百四号）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