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国際金融公社への加盟に伴う国債の発行等に関する省令</w:t>
        <w:br/>
        <w:t>（平成四年大蔵省令第三十九号）</w:t>
      </w:r>
    </w:p>
    <w:p>
      <w:pPr>
        <w:pStyle w:val="Heading4"/>
      </w:pPr>
      <w:r>
        <w:t>第一条（国債の名称）</w:t>
      </w:r>
    </w:p>
    <w:p>
      <w:r>
        <w:t>国際金融公社（以下「公社」という。）に出資するため、国際金融公社への加盟に伴う措置に関する法律（昭和三十一年法律第百六十七号。以下「法」という。）第二条第二項の規定により発行する国債は、国際金融公社通貨代用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第四条（出資の場合の額面金額）</w:t>
      </w:r>
    </w:p>
    <w:p>
      <w:r>
        <w:t>法第二条第一項の規定によりアメリカ合衆国通貨に代えて国債で出資する場合において、公社に交付する通貨代用国庫債券の額面金額は、出資する都度必要な金額又はその金額を分割した金額とする。</w:t>
      </w:r>
    </w:p>
    <w:p>
      <w:pPr>
        <w:pStyle w:val="Heading4"/>
      </w:pPr>
      <w:r>
        <w:t>第五条（分割及び併合）</w:t>
      </w:r>
    </w:p>
    <w:p>
      <w:r>
        <w:t>政府は、公社の請求があったときは、当該請求に従い通貨代用国庫債券の額面金額の分割又は併合を行うことができる。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公社から通貨代用国庫債券の全部又は一部につき償還の請求を受けた場合において、当該請求に係る金額の全部又は一部につき償還を行うときは、その償還を行う金額を当該金額を払い込む先として公社が指定した機関における公社の勘定（以下「公社の勘定」という。）に払い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公社に交付するものとする。</w:t>
      </w:r>
    </w:p>
    <w:p>
      <w:pPr>
        <w:pStyle w:val="Heading4"/>
      </w:pPr>
      <w:r>
        <w:t>第八条（日本銀行が買い取った場合の措置）</w:t>
      </w:r>
    </w:p>
    <w:p>
      <w:r>
        <w:t>日本銀行は、法第二条第三項において準用する国際通貨基金及び国際復興開発銀行への加盟に伴う措置に関する法律（昭和二十七年法律第百九十一号）第十条第四項の規定により政府から償還を行うことのできない金額につき通貨代用国庫債券を買い取ることを命ぜられたときは、当該金額を公社の勘定に払い込まなければならない。</w:t>
      </w:r>
    </w:p>
    <w:p>
      <w:pPr>
        <w:pStyle w:val="Heading5"/>
        <w:ind w:left="440"/>
      </w:pPr>
      <w:r>
        <w:t>２</w:t>
      </w:r>
    </w:p>
    <w:p>
      <w:pPr>
        <w:ind w:left="440"/>
      </w:pPr>
      <w:r>
        <w:t>政府は、前項の場合には、日本銀行が買い取った金額を額面金額とし、法第二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国際金融公社への加盟に伴う国債の発行等に関する省令</w:t>
      <w:br/>
      <w:tab/>
      <w:t>（平成四年大蔵省令第三十九号）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国際金融公社への加盟に伴う国債の発行等に関する省令（平成四年大蔵省令第三十九号）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