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地上権登記索引簿規則</w:t>
        <w:br/>
        <w:t>（昭和二十六年法務府令第百十一号）</w:t>
      </w:r>
    </w:p>
    <w:p>
      <w:pPr>
        <w:pStyle w:val="Heading4"/>
      </w:pPr>
      <w:r>
        <w:t>第一条</w:t>
      </w:r>
    </w:p>
    <w:p>
      <w:r>
        <w:t>一定の町村又はその大字の土地登記簿を備えた登記所には、附録様式による地上権登記索引簿を備えることができる。</w:t>
      </w:r>
    </w:p>
    <w:p>
      <w:pPr>
        <w:pStyle w:val="Heading4"/>
      </w:pPr>
      <w:r>
        <w:t>第二条</w:t>
      </w:r>
    </w:p>
    <w:p>
      <w:r>
        <w:t>前条の町村又はその大字は、法務局又は地方法務局の長の具申により法務大臣が定める。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この府令は、不動産登記法等の一部を改正する法律（昭和二十六年法律第百五十号）施行の日（昭和二十六年七月一日）から施行する。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一定の町村又は其大字の土地登記簿に関する件（明治三十九年司法省令第十七号。以下「旧令」という。）は、廃止する。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旧令第一条第二項の規定により定めた町村又はその大字は、この府令第二条の規定により定めた町村又はその大字とみなし、旧令第二条の地上権登記索引簿は、この府令による地上権登記索引簿とみなす。</w:t>
      </w:r>
    </w:p>
    <w:p>
      <w:r>
        <w:br w:type="page"/>
      </w:r>
    </w:p>
    <w:p>
      <w:pPr>
        <w:pStyle w:val="Heading1"/>
      </w:pPr>
      <w:r>
        <w:t>附　則（昭和二七年八月一日法務省令第七号）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地上権登記索引簿規則</w:t>
      <w:br/>
      <w:tab/>
      <w:t>（昭和二十六年法務府令第百十一号）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地上権登記索引簿規則（昭和二十六年法務府令第百十一号）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