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地域経済牽引事業の促進による地域の成長発展の基盤強化に関する法律第二十二条第一項第二号の経済産業省令・財務省令で定める金融機関を定める省令</w:t>
        <w:br/>
        <w:t>（令和二年財務省・経済産業省令第七号）</w:t>
      </w:r>
    </w:p>
    <w:p>
      <w:r>
        <w:t>地域経済牽引事業の促進による地域の成長発展の基盤強化に関する法律第二十二条第一項第二号の経済産業省令・財務省令で定めるものは、次に掲げるものとする。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地域経済牽引事業の促進による地域の成長発展の基盤強化に関する法律第二十二条第一項第二号の経済産業省令・財務省令で定める金融機関を定める省令</w:t>
      <w:br/>
      <w:tab/>
      <w:t>（令和二年財務省・経済産業省令第七号）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地域経済牽引事業の促進による地域の成長発展の基盤強化に関する法律第二十二条第一項第二号の経済産業省令・財務省令で定める金融機関を定める省令（令和二年財務省・経済産業省令第七号）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