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地方交通審議会規則</w:t>
        <w:br/>
        <w:t>（平成十三年国土交通省令第二十四号）</w:t>
      </w:r>
    </w:p>
    <w:p>
      <w:r>
        <w:t>国土交通省組織令（平成十二年政令第二百五十五号）第二百十四条第三項の規定に基づき、地方交通審議会規則（昭和四十五年運輸省令第三十五号）の全部を改正するこの命令を制定する。</w:t>
      </w:r>
    </w:p>
    <w:p>
      <w:pPr>
        <w:pStyle w:val="Heading4"/>
      </w:pPr>
      <w:r>
        <w:t>第一条（所掌事務）</w:t>
      </w:r>
    </w:p>
    <w:p>
      <w:r>
        <w:t>地方交通審議会（以下「審議会」という。）は、次に掲げる事務をつかさどる。</w:t>
      </w:r>
    </w:p>
    <w:p>
      <w:pPr>
        <w:pStyle w:val="ListBullet"/>
        <w:ind w:left="880"/>
      </w:pPr>
      <w:r>
        <w:t>一</w:t>
        <w:br/>
        <w:t>地方運輸局長の諮問に応じて、地方運輸局の所掌事務に関する重要事項を調査審議し、及びこれに関し必要と認める事項を関係行政機関の長に建議すること。</w:t>
      </w:r>
    </w:p>
    <w:p>
      <w:pPr>
        <w:pStyle w:val="ListBullet"/>
        <w:ind w:left="880"/>
      </w:pPr>
      <w:r>
        <w:t>二</w:t>
        <w:br/>
        <w:t>船員法（昭和二十二年法律第百号）、最低賃金法（昭和三十四年法律第百三十七号）及び船員職業安定法（昭和二十三年法律第百三十号）の規定によりその権限に属させられた事項を処理すること。</w:t>
      </w:r>
    </w:p>
    <w:p>
      <w:pPr>
        <w:pStyle w:val="Heading4"/>
      </w:pPr>
      <w:r>
        <w:t>第二条（組織）</w:t>
      </w:r>
    </w:p>
    <w:p>
      <w:r>
        <w:t>審議会は、委員九人以内で組織する。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委員は、学識経験のある者のうちから、国土交通大臣が任命する。</w:t>
      </w:r>
    </w:p>
    <w:p>
      <w:pPr>
        <w:pStyle w:val="Heading5"/>
        <w:ind w:left="440"/>
      </w:pPr>
      <w:r>
        <w:t>２</w:t>
      </w:r>
    </w:p>
    <w:p>
      <w:pPr>
        <w:ind w:left="440"/>
      </w:pPr>
      <w:r>
        <w:t>臨時委員は、学識経験のある者、関係行政機関の職員又は関係地方公共団体の長若しくはその職員のうちから、国土交通大臣が任命する。</w:t>
      </w:r>
    </w:p>
    <w:p>
      <w:pPr>
        <w:pStyle w:val="Heading5"/>
        <w:ind w:left="440"/>
      </w:pPr>
      <w:r>
        <w:t>３</w:t>
      </w:r>
    </w:p>
    <w:p>
      <w:pPr>
        <w:ind w:left="440"/>
      </w:pPr>
      <w:r>
        <w:t>専門委員は、当該専門の事項に関し学識経験のある者のうちから、地方運輸局長が任命する。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部会に、部会長を置き、当該部会に属する委員及び臨時委員の互選により選任する。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部会長に事故があるときは、当該部会に属する委員及び臨時委員のうちから部会長があらかじめ指名する者が、その職務を代行する。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第八条（庶務）</w:t>
      </w:r>
    </w:p>
    <w:p>
      <w:r>
        <w:t>審議会の庶務は、地方運輸局交通政策部交通企画課において処理する。</w:t>
      </w:r>
    </w:p>
    <w:p>
      <w:pPr>
        <w:pStyle w:val="Heading4"/>
      </w:pPr>
      <w:r>
        <w:t>第九条（雑則）</w:t>
      </w:r>
    </w:p>
    <w:p>
      <w:r>
        <w:t>この省令に定めるもののほか、議事の手続その他審議会の運営に関し必要な事項は、会長が審議会に諮って定める。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この本部令は、その施行の日に、地方交通審議会規則（平成十三年国土交通省令第二十四号）となるものとする。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r>
        <w:br w:type="page"/>
      </w:r>
    </w:p>
    <w:p>
      <w:pPr>
        <w:pStyle w:val="Heading1"/>
      </w:pPr>
      <w:r>
        <w:t>附則（平成二七年六月三〇日国土交通省令第五〇号）</w:t>
      </w:r>
    </w:p>
    <w:p>
      <w:pPr>
        <w:pStyle w:val="Heading5"/>
        <w:ind w:left="440"/>
      </w:pPr>
      <w:r>
        <w:t>１</w:t>
      </w:r>
    </w:p>
    <w:p>
      <w:pPr>
        <w:ind w:left="440"/>
      </w:pPr>
      <w:r>
        <w:t>この省令は、平成二十七年七月一日から施行する。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地方交通審議会規則</w:t>
      <w:br/>
      <w:tab/>
      <w:t>（平成十三年国土交通省令第二十四号）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地方交通審議会規則（平成十三年国土交通省令第二十四号）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