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地方公共団体情報システム機構の設立に伴う関係政令の整備及び経過措置に関する政令　抄</w:t>
        <w:br/>
        <w:t>（平成二十五年政令第三百六十六号）</w:t>
      </w:r>
    </w:p>
    <w:p>
      <w:pPr>
        <w:pStyle w:val="Heading2"/>
      </w:pPr>
      <w:r>
        <w:t>第二章　経過措置</w:t>
      </w:r>
    </w:p>
    <w:p>
      <w:pPr>
        <w:pStyle w:val="Heading4"/>
      </w:pPr>
      <w:r>
        <w:t>第十一条（財団法人地方自治情報センターの解散の登記の嘱託等）</w:t>
      </w:r>
    </w:p>
    <w:p>
      <w:r>
        <w:t>地方公共団体情報システム機構法附則第五条第一項の規定により昭和四十五年五月一日に設立された財団法人地方自治情報センター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地方公共団体情報システム機構の設立に伴う関係政令の整備及び経過措置に関する政令　抄</w:t>
      <w:br/>
      <w:tab/>
      <w:t>（平成二十五年政令第三百六十六号）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地方公共団体情報システム機構の設立に伴う関係政令の整備及び経過措置に関する政令　抄（平成二十五年政令第三百六十六号）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