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地方揮発油税法施行令</w:t>
        <w:br/>
        <w:t>（昭和三十年政令第百五十一号）</w:t>
      </w:r>
    </w:p>
    <w:p>
      <w:pPr>
        <w:pStyle w:val="Heading4"/>
      </w:pPr>
      <w:r>
        <w:t>第一条（担保の提供）</w:t>
      </w:r>
    </w:p>
    <w:p>
      <w:r>
        <w:t>地方揮発油税法（以下「法」という。）第八条第一項又は第二項の規定の適用がある場合において、揮発油税法（昭和三十二年法律第五十五号）第十三条の規定により担保を提供する者又は同法第十八条第一項の規定により提供を命ぜられた担保を提供する者は、その提供する各担保物又は保証人の保証において、揮発油税額の二百四十分の四十七に相当する地方揮発油税額をあわせて担保しなければならない。</w:t>
      </w:r>
    </w:p>
    <w:p>
      <w:pPr>
        <w:pStyle w:val="Heading5"/>
        <w:ind w:left="440"/>
      </w:pPr>
      <w:r>
        <w:t>２</w:t>
      </w:r>
    </w:p>
    <w:p>
      <w:pPr>
        <w:ind w:left="440"/>
      </w:pPr>
      <w:r>
        <w:t>地方揮発油税に係る担保は、揮発油税に係る担保を提供すべき国税庁長官、国税局長、税務署長又は税関長に対してあわせて提供しなければならない。</w:t>
      </w:r>
    </w:p>
    <w:p>
      <w:pPr>
        <w:pStyle w:val="Heading4"/>
      </w:pPr>
      <w:r>
        <w:t>第二条（担保についての国税通則法等の適用の特例）</w:t>
      </w:r>
    </w:p>
    <w:p>
      <w:r>
        <w:t>国税通則法（昭和三十七年法律第六十六号）及び国税通則法施行令（昭和三十七年政令第百三十五号）の担保に係る規定を地方揮発油税及び揮発油税の担保につき適用する場合には、これらの税に係る担保についてあわせて適用しなければならない。</w:t>
      </w:r>
    </w:p>
    <w:p>
      <w:pPr>
        <w:pStyle w:val="Heading4"/>
      </w:pPr>
      <w:r>
        <w:t>第三条（控除又は還付を受けようとする地方揮発油税額の計算に関する書類）</w:t>
      </w:r>
    </w:p>
    <w:p>
      <w:r>
        <w:t>揮発油税法施行令（昭和三十二年政令第五十七号）第十一条第四項の規定は、法第九条第三項の規定により揮発油税法第十七条第五項の規定が準用される場合における地方揮発油税に係る当該書類について準用する。</w:t>
      </w:r>
    </w:p>
    <w:p>
      <w:r>
        <w:br w:type="page"/>
      </w:r>
    </w:p>
    <w:p>
      <w:pPr>
        <w:pStyle w:val="Heading1"/>
      </w:pPr>
      <w:r>
        <w:t>附　則</w:t>
      </w:r>
    </w:p>
    <w:p>
      <w:r>
        <w:t>この政令は、昭和三十年八月一日から施行する。</w:t>
      </w:r>
    </w:p>
    <w:p>
      <w:pPr>
        <w:pStyle w:val="Heading5"/>
        <w:ind w:left="440"/>
      </w:pPr>
      <w:r>
        <w:t>６</w:t>
      </w:r>
    </w:p>
    <w:p>
      <w:pPr>
        <w:ind w:left="440"/>
      </w:pPr>
      <w:r>
        <w:t>この政令の施行前に課した、又は課すべきであつた揮発油税及び当該揮発油税に係る過誤納金の還付金の端数計算については、なお従前の例による。</w:t>
      </w:r>
    </w:p>
    <w:p>
      <w:r>
        <w:br w:type="page"/>
      </w:r>
    </w:p>
    <w:p>
      <w:pPr>
        <w:pStyle w:val="Heading1"/>
      </w:pPr>
      <w:r>
        <w:t>附　則（昭和三二年四月六日政令第五八号）</w:t>
      </w:r>
    </w:p>
    <w:p>
      <w:r>
        <w:t>この政令は、地方道路税法の一部を改正する法律（昭和三十二年法律第五十六号）施行の日から施行する。</w:t>
      </w:r>
    </w:p>
    <w:p>
      <w:r>
        <w:br w:type="page"/>
      </w:r>
    </w:p>
    <w:p>
      <w:pPr>
        <w:pStyle w:val="Heading1"/>
      </w:pPr>
      <w:r>
        <w:t>附　則（昭和三四年四月九日政令第一一二号）</w:t>
      </w:r>
    </w:p>
    <w:p>
      <w:r>
        <w:t>この政令は、昭和三十四年四月十一日から施行する。</w:t>
      </w:r>
    </w:p>
    <w:p>
      <w:pPr>
        <w:pStyle w:val="Heading5"/>
        <w:ind w:left="440"/>
      </w:pPr>
      <w:r>
        <w:t>２</w:t>
      </w:r>
    </w:p>
    <w:p>
      <w:pPr>
        <w:ind w:left="440"/>
      </w:pPr>
      <w:r>
        <w:t>この政令の施行前に提供された担保については、なお従前の例による。</w:t>
      </w:r>
    </w:p>
    <w:p>
      <w:r>
        <w:br w:type="page"/>
      </w:r>
    </w:p>
    <w:p>
      <w:pPr>
        <w:pStyle w:val="Heading1"/>
      </w:pPr>
      <w:r>
        <w:t>附　則（昭和三六年四月一日政令第八八号）</w:t>
      </w:r>
    </w:p>
    <w:p>
      <w:r>
        <w:t>この政令は、公布の日から施行する。</w:t>
      </w:r>
    </w:p>
    <w:p>
      <w:pPr>
        <w:pStyle w:val="Heading5"/>
        <w:ind w:left="440"/>
      </w:pPr>
      <w:r>
        <w:t>２</w:t>
      </w:r>
    </w:p>
    <w:p>
      <w:pPr>
        <w:ind w:left="440"/>
      </w:pPr>
      <w:r>
        <w:t>この政令の施行前に提供された担保については、なお従前の例による。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r>
        <w:br w:type="page"/>
      </w:r>
    </w:p>
    <w:p>
      <w:pPr>
        <w:pStyle w:val="Heading1"/>
      </w:pPr>
      <w:r>
        <w:t>附　則（昭和三九年三月三一日政令第八六号）</w:t>
      </w:r>
    </w:p>
    <w:p>
      <w:r>
        <w:t>この政令は、昭和三十九年四月一日から施行する。</w:t>
      </w:r>
    </w:p>
    <w:p>
      <w:pPr>
        <w:pStyle w:val="Heading5"/>
        <w:ind w:left="440"/>
      </w:pPr>
      <w:r>
        <w:t>２</w:t>
      </w:r>
    </w:p>
    <w:p>
      <w:pPr>
        <w:ind w:left="440"/>
      </w:pPr>
      <w:r>
        <w:t>この政令の施行前に課した、又は課すべきであつた地方道路税に係る担保については、なお従前の例による。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pPr>
        <w:pStyle w:val="Heading4"/>
      </w:pPr>
      <w:r>
        <w:t>第三条（保税地域に該当する製造場において所持する内国貨物に該当する課税物品の届出）</w:t>
      </w:r>
    </w:p>
    <w:p>
      <w:r>
        <w:t>整備法附則第四条第七項に規定する政令で定める事項は、次に掲げる事項とする。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所持する砂糖類につき、その種別（第一種又は第三種の砂糖については、種別及び類別。以下この号において同じ。）及び種別ごとの重量</w:t>
      </w:r>
    </w:p>
    <w:p>
      <w:pPr>
        <w:pStyle w:val="Heading6"/>
        <w:ind w:left="880"/>
      </w:pPr>
      <w:r>
        <w:t>三</w:t>
      </w:r>
    </w:p>
    <w:p>
      <w:pPr>
        <w:ind w:left="880"/>
      </w:pPr>
      <w:r>
        <w:t>所持する砂糖類が整備法附則第二条第一項の規定に該当する場合には、その旨</w:t>
      </w:r>
    </w:p>
    <w:p>
      <w:pPr>
        <w:pStyle w:val="Heading6"/>
        <w:ind w:left="880"/>
      </w:pPr>
      <w:r>
        <w:t>四</w:t>
      </w:r>
    </w:p>
    <w:p>
      <w:pPr>
        <w:ind w:left="880"/>
      </w:pPr>
      <w:r>
        <w:t>その他参考となるべき事項</w:t>
      </w:r>
    </w:p>
    <w:p>
      <w:pPr>
        <w:pStyle w:val="Heading5"/>
        <w:ind w:left="440"/>
      </w:pPr>
      <w:r>
        <w:t>２</w:t>
      </w:r>
    </w:p>
    <w:p>
      <w:pPr>
        <w:ind w:left="440"/>
      </w:pPr>
      <w:r>
        <w:t>整備法附則第五条第四項に規定する政令で定める事項は、次に掲げる事項とする。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所持する揮発油が整備法附則第二条第一項の規定に該当する場合には、その旨</w:t>
      </w:r>
    </w:p>
    <w:p>
      <w:pPr>
        <w:pStyle w:val="Heading6"/>
        <w:ind w:left="880"/>
      </w:pPr>
      <w:r>
        <w:t>三</w:t>
      </w:r>
    </w:p>
    <w:p>
      <w:pPr>
        <w:ind w:left="880"/>
      </w:pPr>
      <w:r>
        <w:t>その他参考となるべき事項</w:t>
      </w:r>
    </w:p>
    <w:p>
      <w:pPr>
        <w:pStyle w:val="Heading5"/>
        <w:ind w:left="440"/>
      </w:pPr>
      <w:r>
        <w:t>３</w:t>
      </w:r>
    </w:p>
    <w:p>
      <w:pPr>
        <w:ind w:left="440"/>
      </w:pPr>
      <w:r>
        <w:t>整備法附則第六条第三項に規定する政令で定める事項は、次に掲げる事項とする。</w:t>
      </w:r>
    </w:p>
    <w:p>
      <w:pPr>
        <w:pStyle w:val="Heading6"/>
        <w:ind w:left="880"/>
      </w:pPr>
      <w:r>
        <w:t>一</w:t>
      </w:r>
    </w:p>
    <w:p>
      <w:pPr>
        <w:ind w:left="880"/>
      </w:pPr>
      <w:r>
        <w:t>その者の住所及び氏名又は名称</w:t>
      </w:r>
    </w:p>
    <w:p>
      <w:pPr>
        <w:pStyle w:val="Heading6"/>
        <w:ind w:left="880"/>
      </w:pPr>
      <w:r>
        <w:t>二</w:t>
      </w:r>
    </w:p>
    <w:p>
      <w:pPr>
        <w:ind w:left="880"/>
      </w:pPr>
      <w:r>
        <w:t>所持するトランプ類につき、その区分及び区分ごとの組数</w:t>
      </w:r>
    </w:p>
    <w:p>
      <w:pPr>
        <w:pStyle w:val="Heading6"/>
        <w:ind w:left="880"/>
      </w:pPr>
      <w:r>
        <w:t>三</w:t>
      </w:r>
    </w:p>
    <w:p>
      <w:pPr>
        <w:ind w:left="880"/>
      </w:pPr>
      <w:r>
        <w:t>所持するトランプ類が整備法附則第二条第一項の規定に該当する場合には、その旨</w:t>
      </w:r>
    </w:p>
    <w:p>
      <w:pPr>
        <w:pStyle w:val="Heading6"/>
        <w:ind w:left="880"/>
      </w:pPr>
      <w:r>
        <w:t>四</w:t>
      </w:r>
    </w:p>
    <w:p>
      <w:pPr>
        <w:ind w:left="880"/>
      </w:pPr>
      <w:r>
        <w:t>その他参考となるべき事項</w:t>
      </w:r>
    </w:p>
    <w:p>
      <w:r>
        <w:br w:type="page"/>
      </w:r>
    </w:p>
    <w:p>
      <w:pPr>
        <w:pStyle w:val="Heading1"/>
      </w:pPr>
      <w:r>
        <w:t>附　則（昭和四二年五月三〇日政令第八八号）</w:t>
      </w:r>
    </w:p>
    <w:p>
      <w:r>
        <w:t>この政令は、昭和四十二年六月一日から施行する。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則（平成三一年三月二九日政令第一〇〇号）</w:t>
      </w:r>
    </w:p>
    <w:p>
      <w:r>
        <w:t>この政令は、平成四十六年四月一日から施行する。</w:t>
      </w:r>
    </w:p>
    <w:p>
      <w:pPr>
        <w:pStyle w:val="Heading5"/>
        <w:ind w:left="440"/>
      </w:pPr>
      <w:r>
        <w:t>２</w:t>
      </w:r>
    </w:p>
    <w:p>
      <w:pPr>
        <w:ind w:left="440"/>
      </w:pPr>
      <w:r>
        <w:t>所得税法等の一部を改正する法律（平成三十一年法律第六号）附則第一条第十二号に掲げる規定の施行前に課した、又は課すべきであった揮発油税及び地方揮発油税については、同法附則第二十六条及び第八十二条に規定す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地方揮発油税法施行令</w:t>
      <w:br/>
      <w:tab/>
      <w:t>（昭和三十年政令第百五十一号）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地方揮発油税法施行令（昭和三十年政令第百五十一号）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