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地方自治法第二百五十二条の十九第一項の指定都市の指定に関する政令</w:t>
        <w:br/>
        <w:t>（昭和三十一年政令第二百五十四号）</w:t>
      </w:r>
    </w:p>
    <w:p>
      <w:r>
        <w:t>地方自治法第二百五十二条の十九第一項の指定都市を次のとおり指定する。</w:t>
      </w:r>
    </w:p>
    <w:p>
      <w:r>
        <w:br w:type="page"/>
      </w:r>
    </w:p>
    <w:p>
      <w:pPr>
        <w:pStyle w:val="Heading1"/>
      </w:pPr>
      <w:r>
        <w:t>附　則</w:t>
      </w:r>
    </w:p>
    <w:p>
      <w:r>
        <w:t>この政令は、地方自治法の一部を改正する法律（昭和三十一年法律第百四十七号。附則第一項ただし書に係る部分を除く。）の施行の日（昭和三十一年九月一日）から施行する。</w:t>
      </w:r>
    </w:p>
    <w:p>
      <w:pPr>
        <w:pStyle w:val="Heading5"/>
        <w:ind w:left="440"/>
      </w:pPr>
      <w:r>
        <w:t>２</w:t>
      </w:r>
    </w:p>
    <w:p>
      <w:pPr>
        <w:ind w:left="440"/>
      </w:pPr>
      <w:r>
        <w:t>地方自治法第百五十五条第二項の市の指定に関する政令（昭和二十二年政令第十七号）は、廃止する。</w:t>
      </w:r>
    </w:p>
    <w:p>
      <w:r>
        <w:br w:type="page"/>
      </w:r>
    </w:p>
    <w:p>
      <w:pPr>
        <w:pStyle w:val="Heading1"/>
      </w:pPr>
      <w:r>
        <w:t>附　則（昭和三八年一月二八日政令第一〇号）</w:t>
      </w:r>
    </w:p>
    <w:p>
      <w:r>
        <w:t>この政令は、昭和三十八年四月一日から施行する。</w:t>
      </w:r>
    </w:p>
    <w:p>
      <w:r>
        <w:br w:type="page"/>
      </w:r>
    </w:p>
    <w:p>
      <w:pPr>
        <w:pStyle w:val="Heading1"/>
      </w:pPr>
      <w:r>
        <w:t>附　則（昭和四六年八月二八日政令第二七六号）</w:t>
      </w:r>
    </w:p>
    <w:p>
      <w:r>
        <w:t>この政令は、昭和四十七年四月一日から施行する。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則（平成一六年一〇月二七日政令第三二二号）</w:t>
      </w:r>
    </w:p>
    <w:p>
      <w:r>
        <w:t>この政令は、平成十七年四月一日から施行する。</w:t>
      </w:r>
    </w:p>
    <w:p>
      <w:r>
        <w:br w:type="page"/>
      </w:r>
    </w:p>
    <w:p>
      <w:pPr>
        <w:pStyle w:val="Heading1"/>
      </w:pPr>
      <w:r>
        <w:t>附　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　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　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　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　則（平成二三年一〇月二一日政令第三二三号）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地方自治法第二百五十二条の十九第一項の指定都市の指定に関する政令</w:t>
      <w:br/>
      <w:tab/>
      <w:t>（昭和三十一年政令第二百五十四号）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地方自治法第二百五十二条の十九第一項の指定都市の指定に関する政令（昭和三十一年政令第二百五十四号）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