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外務省の所管する法令に係る民間事業者等が行う書面の保存等における情報通信の技術の利用に関する省令</w:t>
        <w:br/>
        <w:t>（平成十七年外務省令第三号）</w:t>
      </w:r>
    </w:p>
    <w:p>
      <w:pPr>
        <w:pStyle w:val="Heading4"/>
      </w:pPr>
      <w:r>
        <w:t>第一条（趣旨）</w:t>
      </w:r>
    </w:p>
    <w:p>
      <w:r>
        <w:t>民間事業者等が、外務省の所管する法令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法第三条第一項の主務省令で定める保存は、別表第一の上欄に掲げる法令の同表の下欄に掲げる規定に基づく書面の保存とする。</w:t>
      </w:r>
    </w:p>
    <w:p>
      <w:pPr>
        <w:pStyle w:val="Heading4"/>
      </w:pPr>
      <w:r>
        <w:t>第四条（電磁的記録による保存）</w:t>
      </w:r>
    </w:p>
    <w:p>
      <w:r>
        <w:t>民間事業者等が、法第三条第一項の規定に基づき、別表第一の上欄に掲げる法令の同表の下欄に掲げる規定に基づく書面の保存に代えて当該書面に係る電磁的記録の保存を行う場合及び別表第二の上欄に掲げる法令の同表の下欄に掲げる規定に基づき、電磁的記録による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第一号又は第二号の規定に基づく電磁的記録の保存を行う場合は、必要に応じ電磁的記録に記録された事項を出力することにより、直ちに明瞭かつ整然とした形式で使用に係る電子計算機その他の機器に表示及び書面を作成できる措置を講じなければならない。</w:t>
      </w:r>
    </w:p>
    <w:p>
      <w:r>
        <w:br w:type="page"/>
      </w:r>
    </w:p>
    <w:p>
      <w:pPr>
        <w:pStyle w:val="Heading1"/>
      </w:pPr>
      <w:r>
        <w:t>附　則</w:t>
      </w:r>
    </w:p>
    <w:p>
      <w:r>
        <w:t>この省令は、平成十七年四月一日から施行する。</w:t>
      </w:r>
    </w:p>
    <w:p>
      <w:r>
        <w:br w:type="page"/>
      </w:r>
    </w:p>
    <w:p>
      <w:pPr>
        <w:pStyle w:val="Heading1"/>
      </w:pPr>
      <w:r>
        <w:t>附　則（平成一九年九月二八日外務省令第一五号）</w:t>
      </w:r>
    </w:p>
    <w:p>
      <w:r>
        <w:t>この省令は、信託法の施行の日から施行する。</w:t>
      </w:r>
    </w:p>
    <w:p>
      <w:r>
        <w:br w:type="page"/>
      </w:r>
    </w:p>
    <w:p>
      <w:pPr>
        <w:pStyle w:val="Heading1"/>
      </w:pPr>
      <w:r>
        <w:t>附　則（平成二〇年一一月二八日外務省令第一六号）</w:t>
      </w:r>
    </w:p>
    <w:p>
      <w:pPr>
        <w:pStyle w:val="Heading4"/>
      </w:pPr>
      <w:r>
        <w:t>第一条（施行期日）</w:t>
      </w:r>
    </w:p>
    <w:p>
      <w:r>
        <w:t>この省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4"/>
      </w:pPr>
      <w:r>
        <w:t>第四条（外務省の所管する法令の規定に基づく行政手続等における情報通信の技術の利用に関する規則等の一部改正に伴う経過措置）</w:t>
      </w:r>
    </w:p>
    <w:p>
      <w:r>
        <w:t>前二条の規定による改正前の外務省の所管する法令の規定に基づく行政手続等における情報通信の技術の利用に関する規則に関する規定及び外務省の所管する法令に係る民間事業者等が行う書面の保存等における情報通信の技術の利用に関する省令に関する規定は、整備法第九十五条の規定によりなお従前の例により特例民法法人（整備法第四十二条第二項に規定する特例民法法人をいう。）の業務の監督が行われる間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外務省の所管する法令に係る民間事業者等が行う書面の保存等における情報通信の技術の利用に関する省令</w:t>
      <w:br/>
      <w:tab/>
      <w:t>（平成十七年外務省令第三号）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外務省の所管する法令に係る民間事業者等が行う書面の保存等における情報通信の技術の利用に関する省令（平成十七年外務省令第三号）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