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外務省本省に勤務する外務職員の範囲を定める省令</w:t>
        <w:br/>
        <w:t>（昭和二十七年外務省令第六号）</w:t>
      </w:r>
    </w:p>
    <w:p>
      <w:r>
        <w:t>外務省本省に勤務する一般職の国家公務員のうち、外務公務員法（昭和二十七年法律第四十一号）第二条第四項の規定に基き外務職員となるものは、次の者とする。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外交領事事務に従事する者（外務公務員法第十五条の規定に基く研修を受けている者を含む。）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一般行政関係の事務に従事する者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通信関係の事務に従事する者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外交史料編さヽ</w:t>
        <w:br/>
        <w:br/>
        <w:t>んヽ</w:t>
        <w:br/>
        <w:t>関係の事務に従事する者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この省令は、公布の日から施行し、昭和二十七年四月一日から適用する。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外務省本省に勤務する外務職員の範囲を定める省令</w:t>
      <w:br/>
      <w:tab/>
      <w:t>（昭和二十七年外務省令第六号）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外務省本省に勤務する外務職員の範囲を定める省令（昭和二十七年外務省令第六号）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