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外国為替及び外国貿易法における主務大臣を定める政令</w:t>
        <w:br/>
        <w:t>（昭和五十五年政令第二百五十九号）</w:t>
      </w:r>
    </w:p>
    <w:p>
      <w:pPr>
        <w:pStyle w:val="Heading4"/>
      </w:pPr>
      <w:r>
        <w:t>第一条（法第九条の主務大臣）</w:t>
      </w:r>
    </w:p>
    <w:p>
      <w:r>
        <w:t>外国為替及び外国貿易法（以下「法」という。）第九条における主務大臣は、次に掲げる取引、行為又は支払等（支払又は支払の受領をいう。以下同じ。）の停止については経済産業大臣とし、その他の取引、行為又は支払等の停止については財務大臣とする。</w:t>
      </w:r>
    </w:p>
    <w:p>
      <w:pPr>
        <w:pStyle w:val="Heading6"/>
        <w:ind w:left="880"/>
      </w:pPr>
      <w:r>
        <w:t>一</w:t>
      </w:r>
    </w:p>
    <w:p>
      <w:pPr>
        <w:ind w:left="880"/>
      </w:pPr>
      <w:r>
        <w:t>法第四章の規定の適用を受ける取引又は行為のうち次に掲げるもの</w:t>
      </w:r>
    </w:p>
    <w:p>
      <w:pPr>
        <w:pStyle w:val="Heading6"/>
        <w:ind w:left="880"/>
      </w:pPr>
      <w:r>
        <w:t>二</w:t>
      </w:r>
    </w:p>
    <w:p>
      <w:pPr>
        <w:ind w:left="880"/>
      </w:pPr>
      <w:r>
        <w:t>法第六章の規定の適用を受ける取引又は行為</w:t>
      </w:r>
    </w:p>
    <w:p>
      <w:pPr>
        <w:pStyle w:val="Heading6"/>
        <w:ind w:left="880"/>
      </w:pPr>
      <w:r>
        <w:t>三</w:t>
      </w:r>
    </w:p>
    <w:p>
      <w:pPr>
        <w:ind w:left="880"/>
      </w:pPr>
      <w:r>
        <w:t>次に掲げる取引又は行為に直接伴つてする支払等</w:t>
      </w:r>
    </w:p>
    <w:p>
      <w:pPr>
        <w:pStyle w:val="Heading4"/>
      </w:pPr>
      <w:r>
        <w:t>第二条</w:t>
      </w:r>
    </w:p>
    <w:p>
      <w:r>
        <w:t>削除</w:t>
      </w:r>
    </w:p>
    <w:p>
      <w:pPr>
        <w:pStyle w:val="Heading4"/>
      </w:pPr>
      <w:r>
        <w:t>第三条（法第十六条及び第十六条の二の主務大臣）</w:t>
      </w:r>
    </w:p>
    <w:p>
      <w:r>
        <w:t>法第十六条及び第十六条の二における主務大臣は、第一条第三号に掲げる支払等に係る事項については経済産業大臣とし、その他の支払等に係る事項については財務大臣とする。</w:t>
      </w:r>
    </w:p>
    <w:p>
      <w:pPr>
        <w:pStyle w:val="Heading4"/>
      </w:pPr>
      <w:r>
        <w:t>第三条の二（法第二十五条第五項等の主務大臣）</w:t>
      </w:r>
    </w:p>
    <w:p>
      <w:r>
        <w:t>法第二十五条第五項及び第六項並びに第二十五条の二第四項における主務大臣は、次の各号に掲げる規定の区分に応じ、当該各号に定める取引に係る事項については経済産業大臣とし、その他の取引に係る事項については財務大臣とする。</w:t>
      </w:r>
    </w:p>
    <w:p>
      <w:pPr>
        <w:pStyle w:val="Heading6"/>
        <w:ind w:left="880"/>
      </w:pPr>
      <w:r>
        <w:t>一</w:t>
      </w:r>
    </w:p>
    <w:p>
      <w:pPr>
        <w:ind w:left="880"/>
      </w:pPr>
      <w:r>
        <w:t>法第二十五条第五項</w:t>
      </w:r>
    </w:p>
    <w:p>
      <w:pPr>
        <w:pStyle w:val="Heading6"/>
        <w:ind w:left="880"/>
      </w:pPr>
      <w:r>
        <w:t>二</w:t>
      </w:r>
    </w:p>
    <w:p>
      <w:pPr>
        <w:ind w:left="880"/>
      </w:pPr>
      <w:r>
        <w:t>法第二十五条第六項及び第二十五条の二第四項</w:t>
      </w:r>
    </w:p>
    <w:p>
      <w:pPr>
        <w:pStyle w:val="Heading4"/>
      </w:pPr>
      <w:r>
        <w:t>第三条の三（法第五十五条の主務大臣）</w:t>
      </w:r>
    </w:p>
    <w:p>
      <w:r>
        <w:t>法第五十五条における主務大臣は、第一条第三号に掲げる支払等に係る報告（同条第一号に掲げる取引又は行為に直接伴つてする支払等並びに同条第三号ロ及びハに掲げる行為に直接伴つてする支払等に係る報告のうち、国際収支に関する統計を作成するために必要なものを除く。）については経済産業大臣とし、その他の支払等に係る報告については財務大臣とする。</w:t>
      </w:r>
    </w:p>
    <w:p>
      <w:pPr>
        <w:pStyle w:val="Heading4"/>
      </w:pPr>
      <w:r>
        <w:t>第四条（法第五十五条の八等の主務大臣）</w:t>
      </w:r>
    </w:p>
    <w:p>
      <w:r>
        <w:t>法第五十五条の八、第六十七条から第六十九条まで及び第六十九条の三における主務大臣は、法及びこの政令の他の規定の定めるところにより法の施行に関する事務を所管する大臣とする。</w:t>
      </w:r>
    </w:p>
    <w:p>
      <w:r>
        <w:br w:type="page"/>
      </w:r>
    </w:p>
    <w:p>
      <w:pPr>
        <w:pStyle w:val="Heading1"/>
      </w:pPr>
      <w:r>
        <w:t>附　則</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則（昭和五九年六月一九日政令第一九五号）</w:t>
      </w:r>
    </w:p>
    <w:p>
      <w:r>
        <w:t>この政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　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　則（平成九年一二月二五日政令第三八二号）</w:t>
      </w:r>
    </w:p>
    <w:p>
      <w:r>
        <w:t>この政令は、外国為替及び外国貿易管理法の一部を改正する法律の施行の日（平成十年四月一日）から施行する。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外国為替及び外国貿易法における主務大臣を定める政令</w:t>
      <w:br/>
      <w:tab/>
      <w:t>（昭和五十五年政令第二百五十九号）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外国為替及び外国貿易法における主務大臣を定める政令（昭和五十五年政令第二百五十九号）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