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外国為替及び外国貿易法第六十八条第二項に規定する証票の様式を定める省令</w:t>
        <w:br/>
        <w:t>（平成十年大蔵省令第三十号）</w:t>
      </w:r>
    </w:p>
    <w:p>
      <w:r>
        <w:t>外国為替及び外国貿易法第六十八条第二項に規定する立入検査又は質問を行う職員の身分を示す証票の様式を次のように定める。</w:t>
      </w:r>
    </w:p>
    <w:p>
      <w:r>
        <w:br w:type="page"/>
      </w:r>
    </w:p>
    <w:p>
      <w:pPr>
        <w:pStyle w:val="Heading1"/>
      </w:pPr>
      <w:r>
        <w:t>附　則</w:t>
      </w:r>
    </w:p>
    <w:p>
      <w:pPr>
        <w:pStyle w:val="Heading5"/>
        <w:ind w:left="440"/>
      </w:pPr>
      <w:r>
        <w:t>１</w:t>
      </w:r>
    </w:p>
    <w:p>
      <w:pPr>
        <w:ind w:left="440"/>
      </w:pPr>
      <w:r>
        <w:t>この省令は、外国為替及び外国貿易管理法の一部を改正する法律の施行の日（平成十年四月一日）から施行する。</w:t>
      </w:r>
    </w:p>
    <w:p>
      <w:pPr>
        <w:pStyle w:val="Heading5"/>
        <w:ind w:left="440"/>
      </w:pPr>
      <w:r>
        <w:t>２</w:t>
      </w:r>
    </w:p>
    <w:p>
      <w:pPr>
        <w:ind w:left="440"/>
      </w:pPr>
      <w:r>
        <w:t>外国為替及び外国貿易管理法第六十八条第二項に規定する証票の様式を定める省令（昭和三十三年大蔵省令第六十三号）は、廃止する。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附則（令和元年六月二四日財務省令第九号）</w:t>
      </w:r>
    </w:p>
    <w:p>
      <w:pPr>
        <w:pStyle w:val="Heading5"/>
        <w:ind w:left="440"/>
      </w:pPr>
      <w:r>
        <w:t>１</w:t>
      </w:r>
    </w:p>
    <w:p>
      <w:pPr>
        <w:ind w:left="440"/>
      </w:pPr>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外国為替及び外国貿易法第六十八条第二項に規定する証票の様式を定める省令</w:t>
      <w:br/>
      <w:tab/>
      <w:t>（平成十年大蔵省令第三十号）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外国為替及び外国貿易法第六十八条第二項に規定する証票の様式を定める省令（平成十年大蔵省令第三十号）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