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外貨公債の発行に関する法律に基づく外貨債の利子の非課税等に関する規定の適用を受けない者の範囲を定める政令</w:t>
        <w:br/>
        <w:t>（昭和三十八年政令第百二十二号）</w:t>
      </w:r>
    </w:p>
    <w:p>
      <w:r>
        <w:t>外貨公債の発行に関する法律第二条第一項ただし書（同法第四条において準用する場合を含む。）に規定する政令で定めるものは、次に掲げるものとする。</w:t>
      </w:r>
    </w:p>
    <w:p>
      <w:pPr>
        <w:pStyle w:val="Heading6"/>
        <w:ind w:left="880"/>
      </w:pPr>
      <w:r>
        <w:t>一</w:t>
      </w:r>
    </w:p>
    <w:p>
      <w:pPr>
        <w:ind w:left="880"/>
      </w:pPr>
      <w:r>
        <w:t>所得税法（昭和四十年法律第三十三号）第二条第一項第五号に規定する非居住者で事業（同項第八号の四に規定する恒久的施設を通じて行う事業に限る。）を行うもの</w:t>
      </w:r>
    </w:p>
    <w:p>
      <w:pPr>
        <w:pStyle w:val="Heading6"/>
        <w:ind w:left="880"/>
      </w:pPr>
      <w:r>
        <w:t>二</w:t>
      </w:r>
    </w:p>
    <w:p>
      <w:pPr>
        <w:ind w:left="880"/>
      </w:pPr>
      <w:r>
        <w:t>法人税法（昭和四十年法律第三十四号）第二条第四号に規定する外国法人で事業（同条第十二号の十九に規定する恒久的施設を通じて行う事業に限る。）を行うもの</w:t>
      </w:r>
    </w:p>
    <w:p>
      <w:pPr>
        <w:pStyle w:val="Heading6"/>
        <w:ind w:left="880"/>
      </w:pPr>
      <w:r>
        <w:t>三</w:t>
      </w:r>
    </w:p>
    <w:p>
      <w:pPr>
        <w:ind w:left="880"/>
      </w:pPr>
      <w:r>
        <w:t>法人税法第二条第八号に規定する人格のない社団等で同法の施行地に本店又は主たる事務所を有するもの</w:t>
      </w:r>
    </w:p>
    <w:p>
      <w:pPr>
        <w:pStyle w:val="Heading6"/>
        <w:ind w:left="880"/>
      </w:pPr>
      <w:r>
        <w:t>四</w:t>
      </w:r>
    </w:p>
    <w:p>
      <w:pPr>
        <w:ind w:left="880"/>
      </w:pPr>
      <w: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この政令は、公布の日から施行する。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則（昭和五九年五月二五日政令第一五八号）</w:t>
      </w:r>
    </w:p>
    <w:p>
      <w:r>
        <w:t>この政令は、公布の日から施行する。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一・二</w:t>
      </w:r>
    </w:p>
    <w:p>
      <w:pPr>
        <w:ind w:left="880"/>
      </w:pPr>
      <w:r>
        <w:t>略</w:t>
      </w:r>
    </w:p>
    <w:p>
      <w:pPr>
        <w:pStyle w:val="Heading6"/>
        <w:ind w:left="880"/>
      </w:pPr>
      <w:r>
        <w:t>三</w:t>
      </w:r>
    </w:p>
    <w:p>
      <w:pPr>
        <w:ind w:left="880"/>
      </w:pPr>
      <w:r>
        <w:t>目次の改正規定（「／第三目の三</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一～三</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pPr>
        <w:pStyle w:val="Heading6"/>
        <w:ind w:left="880"/>
      </w:pPr>
      <w:r>
        <w:t>一</w:t>
      </w:r>
    </w:p>
    <w:p>
      <w:pPr>
        <w:ind w:left="880"/>
      </w:pPr>
      <w:r>
        <w:t>第一条中法人税法施行令第一条の改正規定（「適格現物分配」」の下に「、「株式分配」、「適格株式分配」」を加える部分及び「、適格現物分配」の下に「、株式分配、適格株式分配」を加える部分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外貨公債の発行に関する法律に基づく外貨債の利子の非課税等に関する規定の適用を受けない者の範囲を定める政令</w:t>
      <w:br/>
      <w:tab/>
      <w:t>（昭和三十八年政令第百二十二号）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外貨公債の発行に関する法律に基づく外貨債の利子の非課税等に関する規定の適用を受けない者の範囲を定める政令（昭和三十八年政令第百二十二号）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