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外貨公債の発行に関する法律</w:t>
        <w:br/>
        <w:t>（昭和三十八年法律第六十三号）</w:t>
      </w:r>
    </w:p>
    <w:p>
      <w:pPr>
        <w:pStyle w:val="Heading4"/>
      </w:pPr>
      <w:r>
        <w:t>第一条（外貨公債の発行）</w:t>
      </w:r>
    </w:p>
    <w:p>
      <w:r>
        <w:t>政府は、財政投融資特別会計の投資勘定の貸付けの財源に充てるため、同勘定の負担において、外国通貨をもつて表示する公債（以下「外貨債」という。）を発行することができる。</w:t>
      </w:r>
    </w:p>
    <w:p>
      <w:pPr>
        <w:pStyle w:val="Heading5"/>
        <w:ind w:left="440"/>
      </w:pPr>
      <w:r>
        <w:t>２</w:t>
      </w:r>
    </w:p>
    <w:p>
      <w:pPr>
        <w:ind w:left="440"/>
      </w:pPr>
      <w:r>
        <w:t>前項の規定による外貨債の限度額については、予算をもつて、国会の議決を経なければならない。</w:t>
      </w:r>
    </w:p>
    <w:p>
      <w:pPr>
        <w:pStyle w:val="Heading5"/>
        <w:ind w:left="440"/>
      </w:pPr>
      <w:r>
        <w:t>３</w:t>
      </w:r>
    </w:p>
    <w:p>
      <w:pPr>
        <w:ind w:left="440"/>
      </w:pPr>
      <w:r>
        <w:t>第一項に定めるもののほか、政府は、外貨債を失つた者に対し交付するため必要があるときは、外貨債を発行することができる。</w:t>
      </w:r>
    </w:p>
    <w:p>
      <w:pPr>
        <w:pStyle w:val="Heading4"/>
      </w:pPr>
      <w:r>
        <w:t>第二条（利子等の非課税）</w:t>
      </w:r>
    </w:p>
    <w:p>
      <w:r>
        <w:t>前条第一項又は第三項の規定により発行する外貨債の利子及び償還差益（その外貨債の償還により受ける金額がその外貨債の発行価額をこえる場合におけるその差益をいう。以下この項において同じ。）については、租税その他の公課を課さない。</w:t>
        <w:br/>
        <w:t>ただし、所得税法（昭和四十年法律第三十三号）第二条第一項第三号に規定する居住者、法人税法（昭和四十年法律第三十四号）第二条第三号に規定する内国法人又はこれらに準ずるものとして政令で定めるものが支払を受ける当該利子又は償還差益については、この限りでない。</w:t>
      </w:r>
    </w:p>
    <w:p>
      <w:pPr>
        <w:pStyle w:val="Heading5"/>
        <w:ind w:left="440"/>
      </w:pPr>
      <w:r>
        <w:t>２</w:t>
      </w:r>
    </w:p>
    <w:p>
      <w:pPr>
        <w:ind w:left="440"/>
      </w:pPr>
      <w:r>
        <w:t>所得税法第百八十一条及び第二百十二条の規定は、前項に規定する利子については、適用しない。</w:t>
      </w:r>
    </w:p>
    <w:p>
      <w:pPr>
        <w:pStyle w:val="Heading4"/>
      </w:pPr>
      <w:r>
        <w:t>第三条（省令への委任等）</w:t>
      </w:r>
    </w:p>
    <w:p>
      <w:r>
        <w:t>第一条第一項又は第三項の規定により発行する外貨債について、発行地の法令又は慣習による必要がある場合には、国債に関する法律（明治三十九年法律第三十四号）の規定にかかわらず、財務省令の定めるところによる。</w:t>
      </w:r>
    </w:p>
    <w:p>
      <w:pPr>
        <w:pStyle w:val="Heading5"/>
        <w:ind w:left="440"/>
      </w:pPr>
      <w:r>
        <w:t>２</w:t>
      </w:r>
    </w:p>
    <w:p>
      <w:pPr>
        <w:ind w:left="440"/>
      </w:pPr>
      <w:r>
        <w:t>前二条に定めるもの及び前項の財務省令で定めるもののほか、第一条第一項又は第三項の規定により発行する外貨債に関し必要な事項は、財務大臣が定める。</w:t>
      </w:r>
    </w:p>
    <w:p>
      <w:pPr>
        <w:pStyle w:val="Heading4"/>
      </w:pPr>
      <w:r>
        <w:t>第四条（準用）</w:t>
      </w:r>
    </w:p>
    <w:p>
      <w:r>
        <w:t>第一条第三項及び前二条の規定は、財政法（昭和二十二年法律第三十四号）第四条第一項ただし書の規定により発行する外貨債、特別会計に関する法律（平成十九年法律第二十三号）第四十六条第一項及び第四十七条第一項の規定により外貨債の整理又は償還のため発行する外貨債並びに同法第六十二条第一項の規定により発行する外貨債について準用する。</w:t>
      </w:r>
    </w:p>
    <w:p>
      <w:r>
        <w:br w:type="page"/>
      </w:r>
    </w:p>
    <w:p>
      <w:pPr>
        <w:pStyle w:val="Heading1"/>
      </w:pPr>
      <w:r>
        <w:t>附　則</w:t>
      </w:r>
    </w:p>
    <w:p>
      <w:pPr>
        <w:pStyle w:val="Heading5"/>
        <w:ind w:left="440"/>
      </w:pPr>
      <w:r>
        <w:t>１</w:t>
      </w:r>
    </w:p>
    <w:p>
      <w:pPr>
        <w:ind w:left="440"/>
      </w:pPr>
      <w:r>
        <w:t>この法律は、昭和三十八年四月一日から施行する。</w:t>
      </w:r>
    </w:p>
    <w:p>
      <w:pPr>
        <w:pStyle w:val="Heading5"/>
        <w:ind w:left="440"/>
      </w:pPr>
      <w:r>
        <w:t>２</w:t>
      </w:r>
    </w:p>
    <w:p>
      <w:pPr>
        <w:ind w:left="440"/>
      </w:pPr>
      <w:r>
        <w:t>当分の間、第二条第一項本文（第四条において準用する場合を含む。）の規定にかかわらず、同項及び第四条に規定する外貨債（所得税法（昭和四十年法律第三十三号）の施行地外の地域（以下「国外」という。）において発行されたものでその利子の支払が国外において行われるものに限る。）の利子に係る所得税の課税については、同法及び租税特別措置法（昭和三十二年法律第二十六号）の定めるところによ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附則（昭和五九年五月二五日法律第四四号）</w:t>
      </w:r>
    </w:p>
    <w:p>
      <w:pPr>
        <w:pStyle w:val="Heading4"/>
      </w:pPr>
      <w:r>
        <w:t>第一条（施行期日）</w:t>
      </w:r>
    </w:p>
    <w:p>
      <w:r>
        <w:t>この法律は公布の日から施行する。</w:t>
      </w:r>
    </w:p>
    <w:p>
      <w:r>
        <w:br w:type="page"/>
      </w:r>
    </w:p>
    <w:p>
      <w:pPr>
        <w:pStyle w:val="Heading1"/>
      </w:pPr>
      <w:r>
        <w:t>附則（昭和六〇年六月二八日法律第八三号）</w:t>
      </w:r>
    </w:p>
    <w:p>
      <w:pPr>
        <w:pStyle w:val="Heading4"/>
      </w:pPr>
      <w:r>
        <w:t>第一条（施行期日）</w:t>
      </w:r>
    </w:p>
    <w:p>
      <w:r>
        <w:t>この法律は、公布の日から施行する。</w:t>
      </w:r>
    </w:p>
    <w:p>
      <w:r>
        <w:br w:type="page"/>
      </w:r>
    </w:p>
    <w:p>
      <w:pPr>
        <w:pStyle w:val="Heading1"/>
      </w:pPr>
      <w:r>
        <w:t>附則（昭和六二年九月四日法律第八六号）</w:t>
      </w:r>
    </w:p>
    <w:p>
      <w:pPr>
        <w:pStyle w:val="Heading4"/>
      </w:pPr>
      <w:r>
        <w:t>第一条（施行期日）</w:t>
      </w:r>
    </w:p>
    <w:p>
      <w:r>
        <w:t>この法律は、公布の日から施行する。</w:t>
      </w:r>
    </w:p>
    <w:p>
      <w:r>
        <w:br w:type="page"/>
      </w:r>
    </w:p>
    <w:p>
      <w:pPr>
        <w:pStyle w:val="Heading1"/>
      </w:pPr>
      <w:r>
        <w:t>附則（平成九年一二月五日法律第一〇八号）</w:t>
      </w:r>
    </w:p>
    <w:p>
      <w:pPr>
        <w:pStyle w:val="Heading4"/>
      </w:pPr>
      <w:r>
        <w:t>第一条（施行期日）</w:t>
      </w:r>
    </w:p>
    <w:p>
      <w:r>
        <w:t>この法律は、平成十年四月一日から施行する。</w:t>
      </w:r>
    </w:p>
    <w:p>
      <w:pPr>
        <w:pStyle w:val="Heading4"/>
      </w:pPr>
      <w:r>
        <w:t>第六条（外貨公債の発行に関する法律の一部改正に伴う経過措置）</w:t>
      </w:r>
    </w:p>
    <w:p>
      <w:r>
        <w:t>施行日前に発行された前条の規定による改正前の外貨公債の発行に関する法律第二条第一項及び第四条に規定する外貨債の利子に係る所得税については、なお従前の例による。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外貨公債の発行に関する法律</w:t>
      <w:br/>
      <w:tab/>
      <w:t>（昭和三十八年法律第六十三号）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外貨公債の発行に関する法律（昭和三十八年法律第六十三号）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