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大正十一年逓信省令第五十六号（船舶積量互認ノ件ニ関シ帝国政府ト丁抹国政府トノ間ニ取極ヲ為シタル条規）</w:t>
        <w:br/>
        <w:t>（大正十一年逓信省令第五十六号）</w:t>
      </w:r>
    </w:p>
    <w:p>
      <w:r>
        <w:t>丁抹国相当官憲ニ於テ千八百九十五年四月一日以後交付シタル船舶積量測度ニ関スル証書ヲ有スル丁抹国船舶ハ帝国諸港ニ於テ積量ヲ測度スルコトナク其ノ証書ニ記載スル噸数ハ日本船舶ノ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大正十一年逓信省令第五十六号（船舶積量互認ノ件ニ関シ帝国政府ト丁抹国政府トノ間ニ取極ヲ為シタル条規）</w:t>
      <w:br/>
      <w:tab/>
      <w:t>（大正十一年逓信省令第五十六号）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大正十一年逓信省令第五十六号（船舶積量互認ノ件ニ関シ帝国政府ト丁抹国政府トノ間ニ取極ヲ為シタル条規）（大正十一年逓信省令第五十六号）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