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大阪湾臨海地域開発整備法第十四条の地方税の不均一課税に伴う措置が適用される場合等を定める省令</w:t>
        <w:br/>
        <w:t>（平成七年自治省令第三十三号）</w:t>
      </w:r>
    </w:p>
    <w:p>
      <w:pPr>
        <w:pStyle w:val="Heading4"/>
      </w:pPr>
      <w:r>
        <w:t>第一条（法第十四条に規定する総務省令で定める地方公共団体）</w:t>
      </w:r>
    </w:p>
    <w:p>
      <w:r>
        <w:t>大阪湾臨海地域開発整備法（平成四年法律第百十号。以下「法」という。）第十四条に規定する総務省令で定める地方公共団体は、当該地方公共団体の区域に係る法第七条の規定による整備計画の同意の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五〇に満たない府県又は〇・七二に満たない市町村とする。</w:t>
      </w:r>
    </w:p>
    <w:p>
      <w:pPr>
        <w:pStyle w:val="Heading4"/>
      </w:pPr>
      <w:r>
        <w:t>第二条（法第十四条に規定する総務省令で定める中核的施設等）</w:t>
      </w:r>
    </w:p>
    <w:p>
      <w:r>
        <w:t>法第十四条に規定する総務省令で定める中核的施設その他の施設（以下「中核的施設等」という。）は、次項に規定する構成施設により構成されるもの（以下「対象施設」という。）のうち、次に掲げる要件に該当するものとする。</w:t>
      </w:r>
    </w:p>
    <w:p>
      <w:pPr>
        <w:pStyle w:val="Heading6"/>
        <w:ind w:left="880"/>
      </w:pPr>
      <w:r>
        <w:t>一</w:t>
      </w:r>
    </w:p>
    <w:p>
      <w:pPr>
        <w:ind w:left="880"/>
      </w:pPr>
      <w:r>
        <w:t>一の施設（一の家屋若しくは構築物又は用途上不可分の関係にある二以上の家屋若しくは構築物であって一団の土地にあるものに限る。）であって当該施設の用に供する家屋又は構築物（構成施設に係るものに限る。）を構成する減価償却資産（所得税法施行令（昭和四十年政令第九十六号）第六条第一号及び第二号又は法人税法施行令（昭和四十年政令第九十七号）第十三条第一号及び第二号に掲げるものに限る。）の取得価額の合計額が十三億円を超えるものであること。</w:t>
      </w:r>
    </w:p>
    <w:p>
      <w:pPr>
        <w:pStyle w:val="Heading6"/>
        <w:ind w:left="880"/>
      </w:pPr>
      <w:r>
        <w:t>二</w:t>
      </w:r>
    </w:p>
    <w:p>
      <w:pPr>
        <w:ind w:left="880"/>
      </w:pPr>
      <w:r>
        <w:t>当該対象施設が、次に掲げる法人のいずれかに該当する法人により取得され、若しくは建設され、又は運営されるものであること。</w:t>
      </w:r>
    </w:p>
    <w:p>
      <w:pPr>
        <w:pStyle w:val="Heading6"/>
        <w:ind w:left="880"/>
      </w:pPr>
      <w:r>
        <w:t>三</w:t>
      </w:r>
    </w:p>
    <w:p>
      <w:pPr>
        <w:ind w:left="880"/>
      </w:pPr>
      <w:r>
        <w:t>当該対象施設に係る家屋につき当該対象施設に含まれない部分がある場合にあっては当該家屋につきその床面積（機械室、廊下、階段その他共用に供されるべき部分の床面積（以下「共用部分の床面積」という。）を除く。）のうちに当該対象施設に含まれる部分の床面積（共用部分の床面積を除く。）の占める割合が四分の一以上のものであり、当該対象施設に係る構築物につき当該対象施設に含まれない部分がある場合にあっては当該構築物につきこれを構成する減価償却資産（所得税法施行令第六条第二号又は法人税法施行令第十三条第二号に掲げるものに限る。以下この号において同じ。）の取得価額の合計額のうちに当該対象施設に含まれる部分を構成する減価償却資産の取得価額の合計額の占める割合が四分の一以上のものであること。</w:t>
      </w:r>
    </w:p>
    <w:p>
      <w:pPr>
        <w:pStyle w:val="Heading5"/>
        <w:ind w:left="440"/>
      </w:pPr>
      <w:r>
        <w:t>２</w:t>
      </w:r>
    </w:p>
    <w:p>
      <w:pPr>
        <w:ind w:left="440"/>
      </w:pPr>
      <w:r>
        <w:t>構成施設は、法の趣旨を実現する上で特に必要と認められる施設として法第七条第一項に規定する整備計画（以下「整備計画」という。）ごとに総務大臣が告示する施設で、当該施設の用に供する家屋又は構築物（当該施設に含まれる部分に限るものとし、事務所、宿舎又は宿泊施設、附属駐車施設、遊技施設、飲食店、喫茶店若しくは物品販売施設のうちその利用について対価若しくは負担として支払うべき金額の定めのある施設（以下「事務所等」という。）に係るものを除く。）を構成する減価償却資産（所得税法施行令第六条第一号及び第二号又は法人税法施行令第十三条第一号及び第二号に掲げるものに限る。）の取得価額の合計額が三億円を超えるもののうち、会員その他の当該施設を一般の利用客に比して有利な条件で利用する権利を有する者が存するもの又は風俗営業等の規制及び業務の適正化等に関する法律（昭和二十三年法律第百二十二号）第二条第一項に規定する風俗営業若しくは同条第五項に規定する性風俗特殊営業の用に供するもの以外のものとする。</w:t>
      </w:r>
    </w:p>
    <w:p>
      <w:pPr>
        <w:pStyle w:val="Heading4"/>
      </w:pPr>
      <w:r>
        <w:t>第三条（法第十四条に規定する総務省令で定める場合）</w:t>
      </w:r>
    </w:p>
    <w:p>
      <w:r>
        <w:t>法第十四条に規定する総務省令で定める場合は、次の各号に掲げる税目ごとに、それぞれ当該各号に定める場合とする。</w:t>
      </w:r>
    </w:p>
    <w:p>
      <w:pPr>
        <w:pStyle w:val="Heading6"/>
        <w:ind w:left="880"/>
      </w:pPr>
      <w:r>
        <w:t>一</w:t>
      </w:r>
    </w:p>
    <w:p>
      <w:pPr>
        <w:ind w:left="880"/>
      </w:pPr>
      <w:r>
        <w:t>不動産取得税</w:t>
      </w:r>
    </w:p>
    <w:p>
      <w:pPr>
        <w:pStyle w:val="Heading6"/>
        <w:ind w:left="880"/>
      </w:pPr>
      <w:r>
        <w:t>二</w:t>
      </w:r>
    </w:p>
    <w:p>
      <w:pPr>
        <w:ind w:left="880"/>
      </w:pPr>
      <w:r>
        <w:t>固定資産税</w:t>
      </w:r>
    </w:p>
    <w:p>
      <w:r>
        <w:br w:type="page"/>
      </w:r>
    </w:p>
    <w:p>
      <w:pPr>
        <w:pStyle w:val="Heading1"/>
      </w:pPr>
      <w:r>
        <w:t>附　則</w:t>
      </w:r>
    </w:p>
    <w:p>
      <w:r>
        <w:t>この省令は、公布の日から施行する。</w:t>
      </w:r>
    </w:p>
    <w:p>
      <w:r>
        <w:br w:type="page"/>
      </w:r>
    </w:p>
    <w:p>
      <w:pPr>
        <w:pStyle w:val="Heading1"/>
      </w:pPr>
      <w:r>
        <w:t>附　則（平成八年三月二九日自治省令第一〇号）</w:t>
      </w:r>
    </w:p>
    <w:p>
      <w:r>
        <w:t>この省令は、平成八年四月一日から施行する。</w:t>
      </w:r>
    </w:p>
    <w:p>
      <w:r>
        <w:br w:type="page"/>
      </w:r>
    </w:p>
    <w:p>
      <w:pPr>
        <w:pStyle w:val="Heading1"/>
      </w:pPr>
      <w:r>
        <w:t>附　則（平成一〇年三月三〇日自治省令第一〇号）</w:t>
      </w:r>
    </w:p>
    <w:p>
      <w:r>
        <w:t>この省令は、平成十年四月一日から施行する。</w:t>
      </w:r>
    </w:p>
    <w:p>
      <w:r>
        <w:br w:type="page"/>
      </w:r>
    </w:p>
    <w:p>
      <w:pPr>
        <w:pStyle w:val="Heading1"/>
      </w:pPr>
      <w:r>
        <w:t>附　則（平成一一年三月三〇日自治省令第一一号）</w:t>
      </w:r>
    </w:p>
    <w:p>
      <w:r>
        <w:t>この省令は、平成十一年四月一日から施行する。</w:t>
      </w:r>
    </w:p>
    <w:p>
      <w:r>
        <w:br w:type="page"/>
      </w:r>
    </w:p>
    <w:p>
      <w:pPr>
        <w:pStyle w:val="Heading1"/>
      </w:pPr>
      <w:r>
        <w:t>附　則（平成一二年三月二九日自治省令第一六号）</w:t>
      </w:r>
    </w:p>
    <w:p>
      <w:r>
        <w:t>この省令は、平成十二年四月一日から施行する。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則（平成一四年三月三一日総務省令第四三号）</w:t>
      </w:r>
    </w:p>
    <w:p>
      <w:r>
        <w:t>この省令は、平成十四年四月一日から施行する。</w:t>
      </w:r>
    </w:p>
    <w:p>
      <w:pPr>
        <w:pStyle w:val="Heading5"/>
        <w:ind w:left="440"/>
      </w:pPr>
      <w:r>
        <w:t>４</w:t>
      </w:r>
    </w:p>
    <w:p>
      <w:pPr>
        <w:ind w:left="440"/>
      </w:pPr>
      <w:r>
        <w:t>第七条の規定による改正後の大阪湾臨海地域開発整備法第十四条の地方税の不均一課税に伴う措置が適用される場合等を定める省令第二条第一項第一号及び同条第二項の規定は、施行日以後に新設され、又は増設される減価償却資産について適用し、施行日前に新設され、又は増設された減価償却資産については、なお従前の例による。</w:t>
      </w:r>
    </w:p>
    <w:p>
      <w:r>
        <w:br w:type="page"/>
      </w:r>
    </w:p>
    <w:p>
      <w:pPr>
        <w:pStyle w:val="Heading1"/>
      </w:pPr>
      <w:r>
        <w:t>附　則（平成一六年三月三一日総務省令第七四号）</w:t>
      </w:r>
    </w:p>
    <w:p>
      <w:r>
        <w:t>この省令は、平成十六年四月一日から施行する。</w:t>
      </w:r>
    </w:p>
    <w:p>
      <w:pPr>
        <w:pStyle w:val="Heading5"/>
        <w:ind w:left="440"/>
      </w:pPr>
      <w:r>
        <w:t>２</w:t>
      </w:r>
    </w:p>
    <w:p>
      <w:pPr>
        <w:ind w:left="440"/>
      </w:pPr>
      <w:r>
        <w:t>第三条の規定による改正後の大阪湾臨海地域開発整備法第十四条の地方税の不均一課税に伴う措置が適用される場合等を定める省令第二条第一項第一号及び同項第二号の規定は、施行日以後に新設され、又は増設される減価償却資産について適用し、施行日前に新設され、又は増設された減価償却資産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大阪湾臨海地域開発整備法第十四条の地方税の不均一課税に伴う措置が適用される場合等を定める省令</w:t>
      <w:br/>
      <w:tab/>
      <w:t>（平成七年自治省令第三十三号）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大阪湾臨海地域開発整備法第十四条の地方税の不均一課税に伴う措置が適用される場合等を定める省令（平成七年自治省令第三十三号）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