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奄美群島振興開発特別措置法施行令第一条第五項の額の算定に関する省令</w:t>
        <w:br/>
        <w:t>（平成十七年総務省・農林水産省・国土交通省令第四号）</w:t>
      </w:r>
    </w:p>
    <w:p>
      <w:r>
        <w:t>奄美群島振興開発特別措置法施行令（以下この項において「令」という。）第一条第五項の規定により加算する額は、奄美群島振興開発特別措置法（昭和二十九年法律第百八十九号）第六条第三項の事業に要する経費に対する通常の国の交付金の額に、当該事業につき令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奄美群島振興開発特別措置法施行令第一条第五項の額の算定に関する省令</w:t>
      <w:br/>
      <w:tab/>
      <w:t>（平成十七年総務省・農林水産省・国土交通省令第四号）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奄美群島振興開発特別措置法施行令第一条第五項の額の算定に関する省令（平成十七年総務省・農林水産省・国土交通省令第四号）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