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婦人補導院組織規則</w:t>
        <w:br/>
        <w:t>（平成十三年法務省令第五号）</w:t>
      </w:r>
    </w:p>
    <w:p>
      <w:r>
        <w:t>婦人補導院組織規程の全部を改正する命令</w:t>
      </w:r>
    </w:p>
    <w:p>
      <w:r>
        <w:t>婦人補導院組織規程（昭和三十三年法務省令第三十三号）の全部を次のように改正する。</w:t>
      </w:r>
    </w:p>
    <w:p>
      <w:pPr>
        <w:pStyle w:val="Heading4"/>
      </w:pPr>
      <w:r>
        <w:t>第一条（名称及び位置）</w:t>
      </w:r>
    </w:p>
    <w:p>
      <w:r>
        <w:t>婦人補導院の名称及び位置は、別表のとおりとする。</w:t>
      </w:r>
    </w:p>
    <w:p>
      <w:pPr>
        <w:pStyle w:val="Heading4"/>
      </w:pPr>
      <w:r>
        <w:t>第二条（院長）</w:t>
      </w:r>
    </w:p>
    <w:p>
      <w:r>
        <w:t>婦人補導院に、院長を置く。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院長は、婦人補導院の事務を掌理する。</w:t>
      </w:r>
    </w:p>
    <w:p>
      <w:pPr>
        <w:pStyle w:val="Heading4"/>
      </w:pPr>
      <w:r>
        <w:t>第三条（婦人補導院に置く課）</w:t>
      </w:r>
    </w:p>
    <w:p>
      <w:r>
        <w:t>婦人補導院に、補導課を置く。</w:t>
      </w:r>
    </w:p>
    <w:p>
      <w:pPr>
        <w:pStyle w:val="Heading4"/>
      </w:pPr>
      <w:r>
        <w:t>第四条（補導課の所掌事務）</w:t>
      </w:r>
    </w:p>
    <w:p>
      <w:r>
        <w:t>補導課は、次に掲げる事務をつかさどる。</w:t>
      </w:r>
    </w:p>
    <w:p>
      <w:pPr>
        <w:pStyle w:val="ListBullet"/>
        <w:ind w:left="880"/>
      </w:pPr>
      <w:r>
        <w:t>一</w:t>
        <w:br/>
        <w:t>公文書類の接受、発送、編集及び保存に関すること。</w:t>
      </w:r>
    </w:p>
    <w:p>
      <w:pPr>
        <w:pStyle w:val="ListBullet"/>
        <w:ind w:left="880"/>
      </w:pPr>
      <w:r>
        <w:t>二</w:t>
        <w:br/>
        <w:t>人事に関すること。</w:t>
      </w:r>
    </w:p>
    <w:p>
      <w:pPr>
        <w:pStyle w:val="ListBullet"/>
        <w:ind w:left="880"/>
      </w:pPr>
      <w:r>
        <w:t>三</w:t>
        <w:br/>
        <w:t>経理に関すること。</w:t>
      </w:r>
    </w:p>
    <w:p>
      <w:pPr>
        <w:pStyle w:val="ListBullet"/>
        <w:ind w:left="880"/>
      </w:pPr>
      <w:r>
        <w:t>四</w:t>
        <w:br/>
        <w:t>統計に関すること。</w:t>
      </w:r>
    </w:p>
    <w:p>
      <w:pPr>
        <w:pStyle w:val="ListBullet"/>
        <w:ind w:left="880"/>
      </w:pPr>
      <w:r>
        <w:t>五</w:t>
        <w:br/>
        <w:t>入院、退院及び仮退院に関すること。</w:t>
      </w:r>
    </w:p>
    <w:p>
      <w:pPr>
        <w:pStyle w:val="ListBullet"/>
        <w:ind w:left="880"/>
      </w:pPr>
      <w:r>
        <w:t>六</w:t>
        <w:br/>
        <w:t>資質及び環境の調査並びに分類に関すること。</w:t>
      </w:r>
    </w:p>
    <w:p>
      <w:pPr>
        <w:pStyle w:val="ListBullet"/>
        <w:ind w:left="880"/>
      </w:pPr>
      <w:r>
        <w:t>七</w:t>
        <w:br/>
        <w:t>処遇に関すること。</w:t>
      </w:r>
    </w:p>
    <w:p>
      <w:pPr>
        <w:pStyle w:val="ListBullet"/>
        <w:ind w:left="880"/>
      </w:pPr>
      <w:r>
        <w:t>八</w:t>
        <w:br/>
        <w:t>補導に関すること。</w:t>
      </w:r>
    </w:p>
    <w:p>
      <w:pPr>
        <w:pStyle w:val="ListBullet"/>
        <w:ind w:left="880"/>
      </w:pPr>
      <w:r>
        <w:t>九</w:t>
        <w:br/>
        <w:t>給養に関すること。</w:t>
      </w:r>
    </w:p>
    <w:p>
      <w:pPr>
        <w:pStyle w:val="ListBullet"/>
        <w:ind w:left="880"/>
      </w:pPr>
      <w:r>
        <w:t>十</w:t>
        <w:br/>
        <w:t>保健、衛生、防疫、医療及び薬剤に関すること。</w:t>
      </w:r>
    </w:p>
    <w:p>
      <w:pPr>
        <w:pStyle w:val="ListBullet"/>
        <w:ind w:left="880"/>
      </w:pPr>
      <w:r>
        <w:t>十一</w:t>
        <w:br/>
        <w:t>面会及び通信に関すること。</w:t>
      </w:r>
    </w:p>
    <w:p>
      <w:pPr>
        <w:pStyle w:val="ListBullet"/>
        <w:ind w:left="880"/>
      </w:pPr>
      <w:r>
        <w:t>十二</w:t>
        <w:br/>
        <w:t>保安に関すること。</w:t>
      </w:r>
    </w:p>
    <w:p>
      <w:pPr>
        <w:pStyle w:val="ListBullet"/>
        <w:ind w:left="880"/>
      </w:pPr>
      <w:r>
        <w:t>十三</w:t>
        <w:br/>
        <w:t>領置に関すること。</w:t>
      </w:r>
    </w:p>
    <w:p>
      <w:pPr>
        <w:pStyle w:val="ListBullet"/>
        <w:ind w:left="880"/>
      </w:pPr>
      <w:r>
        <w:t>十四</w:t>
        <w:br/>
        <w:t>前各号に掲げるもののほか、婦人補導院の所掌に属するものに関すること。</w:t>
      </w:r>
    </w:p>
    <w:p>
      <w:pPr>
        <w:pStyle w:val="Heading4"/>
      </w:pPr>
      <w:r>
        <w:t>第五条（雑則）</w:t>
      </w:r>
    </w:p>
    <w:p>
      <w:r>
        <w:t>この省令に定めるもののほか、婦人補導院に関し必要な事項は、院長が定める。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院長は、前項の規定に基づき、事務分掌その他組織の細目を定めようとするときは、法務大臣の承認を受けなければならない。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この中央省庁等改革推進本部令（次項において「本部令」という。）は、内閣法の一部を改正する法律（平成十一年法律第八十八号）の施行の日（平成十三年一月六日）から施行する。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この本部令は、その施行の日に、婦人補導院組織規則（平成十三年法務省令第五号）となるものとする。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婦人補導院組織規則</w:t>
      <w:br/>
      <w:tab/>
      <w:t>（平成十三年法務省令第五号）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婦人補導院組織規則（平成十三年法務省令第五号）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