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子どもの貧困対策会議令</w:t>
        <w:br/>
        <w:t>（平成二十六年政令第七号）</w:t>
      </w:r>
    </w:p>
    <w:p>
      <w:pPr>
        <w:pStyle w:val="Heading4"/>
      </w:pPr>
      <w:r>
        <w:t>第一条（会長）</w:t>
      </w:r>
    </w:p>
    <w:p>
      <w:r>
        <w:t>会長は、会務を総理する。</w:t>
      </w:r>
    </w:p>
    <w:p>
      <w:pPr>
        <w:pStyle w:val="Heading5"/>
        <w:ind w:left="440"/>
      </w:pPr>
      <w:r>
        <w:t>２</w:t>
      </w:r>
    </w:p>
    <w:p>
      <w:pPr>
        <w:ind w:left="440"/>
      </w:pPr>
      <w:r>
        <w:t>会長に事故があるときは、会長があらかじめ指名する委員が、その職務を代理する。</w:t>
      </w:r>
    </w:p>
    <w:p>
      <w:pPr>
        <w:pStyle w:val="Heading4"/>
      </w:pPr>
      <w:r>
        <w:t>第二条（子どもの貧困対策会議の運営）</w:t>
      </w:r>
    </w:p>
    <w:p>
      <w:r>
        <w:t>前条に定めるもののほか、議事の手続その他子どもの貧困対策会議の運営に関し必要な事項は、会長が子どもの貧困対策会議に諮って定める。</w:t>
      </w:r>
    </w:p>
    <w:p>
      <w:r>
        <w:br w:type="page"/>
      </w:r>
    </w:p>
    <w:p>
      <w:pPr>
        <w:pStyle w:val="Heading1"/>
      </w:pPr>
      <w:r>
        <w:t>附　則</w:t>
      </w:r>
    </w:p>
    <w:p>
      <w:r>
        <w:t>この政令は、子どもの貧困対策の推進に関する法律の施行の日（平成二十六年一月十七日）から施行する。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子どもの貧困対策会議令</w:t>
      <w:br/>
      <w:tab/>
      <w:t>（平成二十六年政令第七号）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子どもの貧困対策会議令（平成二十六年政令第七号）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