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子ども・若者育成支援推進本部令</w:t>
        <w:br/>
        <w:t>（平成二十一年政令第二百八十一号）</w:t>
      </w:r>
    </w:p>
    <w:p>
      <w:pPr>
        <w:pStyle w:val="Heading4"/>
      </w:pPr>
      <w:r>
        <w:t>第一条（庶務）</w:t>
      </w:r>
    </w:p>
    <w:p>
      <w:r>
        <w:t>子ども・若者育成支援推進本部（次条において「本部」という。）の庶務は、内閣府本府に置かれる政策統括官が処理する。</w:t>
      </w:r>
    </w:p>
    <w:p>
      <w:pPr>
        <w:pStyle w:val="Heading4"/>
      </w:pPr>
      <w:r>
        <w:t>第二条（本部の運営）</w:t>
      </w:r>
    </w:p>
    <w:p>
      <w:r>
        <w:t>前条に定めるもののほか、本部の運営に関し必要な事項は、子ども・若者育成支援推進本部長が本部に諮って定める。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この政令は、子ども・若者育成支援推進法の施行の日（平成二十二年四月一日）から施行する。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インターネット青少年有害情報対策・環境整備推進会議令（平成二十年政令第三百七十九号）は、廃止する。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子ども・若者育成支援推進本部令</w:t>
      <w:br/>
      <w:tab/>
      <w:t>（平成二十一年政令第二百八十一号）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子ども・若者育成支援推進本部令（平成二十一年政令第二百八十一号）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