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宇宙開発戦略本部令</w:t>
        <w:br/>
        <w:t>（平成二十年政令第二百五十一号）</w:t>
      </w:r>
    </w:p>
    <w:p>
      <w:r>
        <w:t>宇宙開発戦略本部の運営に関し必要な事項は、宇宙開発戦略本部長が宇宙開発戦略本部に諮って定める。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この政令は、宇宙基本法の施行の日（平成二十年八月二十七日）から施行する。</w:t>
      </w:r>
    </w:p>
    <w:p>
      <w:r>
        <w:br w:type="page"/>
      </w:r>
    </w:p>
    <w:p>
      <w:pPr>
        <w:pStyle w:val="Heading1"/>
      </w:pPr>
      <w:r>
        <w:t>附　則（平成二四年七月一一日政令第一八七号）</w:t>
      </w:r>
    </w:p>
    <w:p>
      <w:r>
        <w:t>この政令は、内閣府設置法等の一部を改正する法律の施行の日（平成二十四年七月十二日）から施行する。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宇宙開発戦略本部令</w:t>
      <w:br/>
      <w:tab/>
      <w:t>（平成二十年政令第二百五十一号）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宇宙開発戦略本部令（平成二十年政令第二百五十一号）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