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官民人材交流センター令</w:t>
        <w:br/>
        <w:t>（平成二十年政令第三百九十一号）</w:t>
      </w:r>
    </w:p>
    <w:p>
      <w:pPr>
        <w:pStyle w:val="Heading4"/>
      </w:pPr>
      <w:r>
        <w:t>第一条（審議官）</w:t>
      </w:r>
    </w:p>
    <w:p>
      <w:r>
        <w:t>官民人材交流センター（以下「センター」という。）に、審議官一人を置く。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審議官は、命を受けて、センターの所掌事務に関する重要事項についての企画及び立案に参画し、関係事務を総括整理する。</w:t>
      </w:r>
    </w:p>
    <w:p>
      <w:pPr>
        <w:pStyle w:val="Heading4"/>
      </w:pPr>
      <w:r>
        <w:t>第二条（内閣府令への委任）</w:t>
      </w:r>
    </w:p>
    <w:p>
      <w:r>
        <w:t>前条に定めるもののほか、センターの内部組織は、内閣府令で定める。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センターの支所の名称、位置、所掌事務及び内部組織は、内閣府令で定める。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この政令は、国家公務員法等の一部を改正する法律（平成十九年法律第百八号）の施行の日（平成二十年十二月三十一日）から施行する。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官民人材交流センター令</w:t>
      <w:br/>
      <w:tab/>
      <w:t>（平成二十年政令第三百九十一号）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官民人材交流センター令（平成二十年政令第三百九十一号）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