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官民競争入札等監理委員会事務局組織規則</w:t>
        <w:br/>
        <w:t>（平成十八年内閣府令第七十一号）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官民競争入札等監理委員会の事務局に、企画官一人を置く。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企画官は、命を受けて、局務のうち特定事項の調査、企画及び立案を行う。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この府令は、競争の導入による公共サービスの改革に関する法律（平成十八年法律第五十一号）の施行の日（平成十八年七月七日）から施行する。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官民競争入札等監理委員会事務局組織規則</w:t>
      <w:br/>
      <w:tab/>
      <w:t>（平成十八年内閣府令第七十一号）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官民競争入札等監理委員会事務局組織規則（平成十八年内閣府令第七十一号）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