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実用新案登録令</w:t>
        <w:br/>
        <w:t>（昭和三十五年政令第四十号）</w:t>
      </w:r>
    </w:p>
    <w:p>
      <w:pPr>
        <w:pStyle w:val="Heading2"/>
      </w:pPr>
      <w:r>
        <w:t>第一章　総則</w:t>
      </w:r>
    </w:p>
    <w:p>
      <w:pPr>
        <w:pStyle w:val="Heading4"/>
      </w:pPr>
      <w:r>
        <w:t>第一条（登録事項）</w:t>
      </w:r>
    </w:p>
    <w:p>
      <w:r>
        <w:t>実用新案に関する登録は、実用新案法第四十九条第一項各号に掲げる事項のほか、次に掲げる事項についてする。</w:t>
      </w:r>
    </w:p>
    <w:p>
      <w:pPr>
        <w:pStyle w:val="Heading6"/>
        <w:ind w:left="880"/>
      </w:pPr>
      <w:r>
        <w:t>一</w:t>
      </w:r>
    </w:p>
    <w:p>
      <w:pPr>
        <w:ind w:left="880"/>
      </w:pPr>
      <w:r>
        <w:t>審判の確定審決</w:t>
      </w:r>
    </w:p>
    <w:p>
      <w:pPr>
        <w:pStyle w:val="Heading6"/>
        <w:ind w:left="880"/>
      </w:pPr>
      <w:r>
        <w:t>二</w:t>
      </w:r>
    </w:p>
    <w:p>
      <w:pPr>
        <w:ind w:left="880"/>
      </w:pPr>
      <w:r>
        <w:t>再審の確定審決</w:t>
      </w:r>
    </w:p>
    <w:p>
      <w:pPr>
        <w:pStyle w:val="Heading4"/>
      </w:pPr>
      <w:r>
        <w:t>第一条の二（仮登録）</w:t>
      </w:r>
    </w:p>
    <w:p>
      <w:r>
        <w:t>仮登録は、次に掲げる場合にするものとする。</w:t>
      </w:r>
    </w:p>
    <w:p>
      <w:pPr>
        <w:pStyle w:val="Heading6"/>
        <w:ind w:left="880"/>
      </w:pPr>
      <w:r>
        <w:t>一</w:t>
      </w:r>
    </w:p>
    <w:p>
      <w:pPr>
        <w:ind w:left="880"/>
      </w:pPr>
      <w:r>
        <w:t>登録の申請に必要な手続上の要件が具備しないとき。</w:t>
      </w:r>
    </w:p>
    <w:p>
      <w:pPr>
        <w:pStyle w:val="Heading6"/>
        <w:ind w:left="880"/>
      </w:pPr>
      <w:r>
        <w:t>二</w:t>
      </w:r>
    </w:p>
    <w:p>
      <w:pPr>
        <w:ind w:left="880"/>
      </w:pPr>
      <w:r>
        <w:t>実用新案権若しくは専用実施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第一条の三（予告登録）</w:t>
      </w:r>
    </w:p>
    <w:p>
      <w:r>
        <w:t>予告登録は、次に掲げる場合にするものとする。</w:t>
      </w:r>
    </w:p>
    <w:p>
      <w:pPr>
        <w:pStyle w:val="Heading6"/>
        <w:ind w:left="880"/>
      </w:pPr>
      <w:r>
        <w:t>一</w:t>
      </w:r>
    </w:p>
    <w:p>
      <w:pPr>
        <w:ind w:left="880"/>
      </w:pPr>
      <w:r>
        <w:t>登録の原因の無効又は取消しによる登録の抹消又は回復の訴えが提起されたとき。</w:t>
      </w:r>
    </w:p>
    <w:p>
      <w:pPr>
        <w:pStyle w:val="Heading6"/>
        <w:ind w:left="880"/>
      </w:pPr>
      <w:r>
        <w:t>二</w:t>
      </w:r>
    </w:p>
    <w:p>
      <w:pPr>
        <w:ind w:left="880"/>
      </w:pPr>
      <w:r>
        <w:t>実用新案法第十七条の二第一項の規定による請求に係る訴えが提起されたとき。</w:t>
      </w:r>
    </w:p>
    <w:p>
      <w:pPr>
        <w:pStyle w:val="Heading6"/>
        <w:ind w:left="880"/>
      </w:pPr>
      <w:r>
        <w:t>三</w:t>
      </w:r>
    </w:p>
    <w:p>
      <w:pPr>
        <w:ind w:left="880"/>
      </w:pPr>
      <w:r>
        <w:t>実用新案登録無効審判の請求があつたとき。</w:t>
      </w:r>
    </w:p>
    <w:p>
      <w:pPr>
        <w:pStyle w:val="Heading6"/>
        <w:ind w:left="880"/>
      </w:pPr>
      <w:r>
        <w:t>四</w:t>
      </w:r>
    </w:p>
    <w:p>
      <w:pPr>
        <w:ind w:left="880"/>
      </w:pPr>
      <w:r>
        <w:t>再審の請求があつたとき。</w:t>
      </w:r>
    </w:p>
    <w:p>
      <w:pPr>
        <w:pStyle w:val="Heading4"/>
      </w:pPr>
      <w:r>
        <w:t>第一条の四（付記登録）</w:t>
      </w:r>
    </w:p>
    <w:p>
      <w:r>
        <w:t>次に掲げる事項の登録は、付記によつてする。</w:t>
      </w:r>
    </w:p>
    <w:p>
      <w:pPr>
        <w:pStyle w:val="Heading6"/>
        <w:ind w:left="880"/>
      </w:pPr>
      <w:r>
        <w:t>一</w:t>
      </w:r>
    </w:p>
    <w:p>
      <w:pPr>
        <w:ind w:left="880"/>
      </w:pPr>
      <w:r>
        <w:t>登録名義人の表示の変更又は更正</w:t>
      </w:r>
    </w:p>
    <w:p>
      <w:pPr>
        <w:pStyle w:val="Heading6"/>
        <w:ind w:left="880"/>
      </w:pPr>
      <w:r>
        <w:t>二</w:t>
      </w:r>
    </w:p>
    <w:p>
      <w:pPr>
        <w:ind w:left="880"/>
      </w:pPr>
      <w:r>
        <w:t>第七条において準用する特許登録令（昭和三十五年政令第三十九号）第四十一条第一項に規定する登録の更正（登録名義人の表示の更正を除く。）</w:t>
      </w:r>
    </w:p>
    <w:p>
      <w:pPr>
        <w:pStyle w:val="Heading6"/>
        <w:ind w:left="880"/>
      </w:pPr>
      <w:r>
        <w:t>三</w:t>
      </w:r>
    </w:p>
    <w:p>
      <w:pPr>
        <w:ind w:left="880"/>
      </w:pPr>
      <w:r>
        <w:t>質権の移転又は信託による質権についての変更</w:t>
      </w:r>
    </w:p>
    <w:p>
      <w:pPr>
        <w:pStyle w:val="Heading6"/>
        <w:ind w:left="880"/>
      </w:pPr>
      <w:r>
        <w:t>四</w:t>
      </w:r>
    </w:p>
    <w:p>
      <w:pPr>
        <w:ind w:left="880"/>
      </w:pPr>
      <w:r>
        <w:t>一部が抹消された登録の回復</w:t>
      </w:r>
    </w:p>
    <w:p>
      <w:pPr>
        <w:pStyle w:val="Heading4"/>
      </w:pPr>
      <w:r>
        <w:t>第一条の五</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つてする。</w:t>
      </w:r>
    </w:p>
    <w:p>
      <w:pPr>
        <w:pStyle w:val="Heading6"/>
        <w:ind w:left="880"/>
      </w:pPr>
      <w:r>
        <w:t>一</w:t>
      </w:r>
    </w:p>
    <w:p>
      <w:pPr>
        <w:ind w:left="880"/>
      </w:pPr>
      <w:r>
        <w:t>実用新案権以外の権利の変更（信託による実用新案権以外の権利についての変更を除く。）</w:t>
      </w:r>
    </w:p>
    <w:p>
      <w:pPr>
        <w:pStyle w:val="Heading6"/>
        <w:ind w:left="880"/>
      </w:pPr>
      <w:r>
        <w:t>二</w:t>
      </w:r>
    </w:p>
    <w:p>
      <w:pPr>
        <w:ind w:left="880"/>
      </w:pPr>
      <w:r>
        <w:t>登録の更正（登録名義人の表示の更正及び第七条において準用する特許登録令第四十一条第一項に規定する登録の更正を除く。）</w:t>
      </w:r>
    </w:p>
    <w:p>
      <w:pPr>
        <w:pStyle w:val="Heading4"/>
      </w:pPr>
      <w:r>
        <w:t>第二条（特許登録令の準用）</w:t>
      </w:r>
    </w:p>
    <w:p>
      <w:r>
        <w:t>特許登録令第六条から第八条の二まで（順位）の規定は、実用新案に関する登録に準用する。</w:t>
      </w:r>
    </w:p>
    <w:p>
      <w:pPr>
        <w:pStyle w:val="Heading2"/>
      </w:pPr>
      <w:r>
        <w:t>第二章　実用新案原簿及び閉鎖実用新案原簿</w:t>
      </w:r>
    </w:p>
    <w:p>
      <w:pPr>
        <w:pStyle w:val="Heading4"/>
      </w:pPr>
      <w:r>
        <w:t>第三条（実用新案原簿の範囲）</w:t>
      </w:r>
    </w:p>
    <w:p>
      <w:r>
        <w:t>実用新案原簿は、実用新案登録原簿及び実用新案信託原簿とする。</w:t>
      </w:r>
    </w:p>
    <w:p>
      <w:pPr>
        <w:pStyle w:val="Heading5"/>
        <w:ind w:left="440"/>
      </w:pPr>
      <w:r>
        <w:t>２</w:t>
      </w:r>
    </w:p>
    <w:p>
      <w:pPr>
        <w:ind w:left="440"/>
      </w:pPr>
      <w:r>
        <w:t>実用新案登録を受けた考案の当該明細書、実用新案登録請求の範囲及び図面（工業所有権に関する手続等の特例に関する法律（平成二年法律第三十号。以下この条において「特例法」という。）の規定により明細書及び実用新案登録請求の範囲に記載された事項並びに図面の内容が特例法第三条第二項に規定するファイルに記録されている場合にあつては、当該ファイルの記録）は、次条第一項の規定の適用を除き、実用新案登録原簿の一部とみなす。</w:t>
      </w:r>
    </w:p>
    <w:p>
      <w:pPr>
        <w:pStyle w:val="Heading5"/>
        <w:ind w:left="440"/>
      </w:pPr>
      <w:r>
        <w:t>３</w:t>
      </w:r>
    </w:p>
    <w:p>
      <w:pPr>
        <w:ind w:left="440"/>
      </w:pPr>
      <w:r>
        <w:t>審決の原本により、第一条各号に掲げる事項について、実用新案登録原簿にその審決の要旨の登録をしたときは、その原本（特例法の規定により審決の内容が特例法第三条第二項に規定するファイルに記録されている場合にあつては、当該ファイルの記録）は、次条第一項の規定の適用を除き、実用新案登録原簿の一部とみなす。</w:t>
      </w:r>
    </w:p>
    <w:p>
      <w:pPr>
        <w:pStyle w:val="Heading4"/>
      </w:pPr>
      <w:r>
        <w:t>第三条の二（実用新案原簿の調製等）</w:t>
      </w:r>
    </w:p>
    <w:p>
      <w:r>
        <w:t>実用新案登録原簿は、磁気テープをもつて調製し、その調製の方法は、経済産業省令で定める。</w:t>
      </w:r>
    </w:p>
    <w:p>
      <w:pPr>
        <w:pStyle w:val="Heading5"/>
        <w:ind w:left="440"/>
      </w:pPr>
      <w:r>
        <w:t>２</w:t>
      </w:r>
    </w:p>
    <w:p>
      <w:pPr>
        <w:ind w:left="440"/>
      </w:pPr>
      <w:r>
        <w:t>実用新案信託原簿は、帳簿をもつて調製し、その様式及び記載の方法は、経済産業省令で定める。</w:t>
      </w:r>
    </w:p>
    <w:p>
      <w:pPr>
        <w:pStyle w:val="Heading5"/>
        <w:ind w:left="440"/>
      </w:pPr>
      <w:r>
        <w:t>３</w:t>
      </w:r>
    </w:p>
    <w:p>
      <w:pPr>
        <w:ind w:left="440"/>
      </w:pPr>
      <w:r>
        <w:t>実用新案原簿の附属書類の種類は、経済産業省令で定める。</w:t>
      </w:r>
    </w:p>
    <w:p>
      <w:pPr>
        <w:pStyle w:val="Heading4"/>
      </w:pPr>
      <w:r>
        <w:t>第四条（閉鎖実用新案原簿）</w:t>
      </w:r>
    </w:p>
    <w:p>
      <w:r>
        <w:t>特許庁長官は、実用新案権の消滅の登録をしたときは、経済産業省令で定めるところにより、実用新案登録原簿における当該実用新案権に関する登録を閉鎖実用新案原簿に移さなければならない。</w:t>
      </w:r>
    </w:p>
    <w:p>
      <w:pPr>
        <w:pStyle w:val="Heading4"/>
      </w:pPr>
      <w:r>
        <w:t>第五条（特許登録令の準用）</w:t>
      </w:r>
    </w:p>
    <w:p>
      <w:r>
        <w:t>特許登録令第十一条（滅失）の規定は、実用新案原簿に準用する。</w:t>
      </w:r>
    </w:p>
    <w:p>
      <w:pPr>
        <w:pStyle w:val="Heading2"/>
      </w:pPr>
      <w:r>
        <w:t>第三章　登録の手続</w:t>
      </w:r>
    </w:p>
    <w:p>
      <w:pPr>
        <w:pStyle w:val="Heading4"/>
      </w:pPr>
      <w:r>
        <w:t>第六条（職権による登録）</w:t>
      </w:r>
    </w:p>
    <w:p>
      <w:r>
        <w:t>次に掲げる事項の登録は、特許庁長官が職権でしなければならない。</w:t>
      </w:r>
    </w:p>
    <w:p>
      <w:pPr>
        <w:pStyle w:val="Heading6"/>
        <w:ind w:left="880"/>
      </w:pPr>
      <w:r>
        <w:t>一</w:t>
      </w:r>
    </w:p>
    <w:p>
      <w:pPr>
        <w:ind w:left="880"/>
      </w:pPr>
      <w:r>
        <w:t>実用新案権の設定、消滅（放棄によるものを除く。）又は回復</w:t>
      </w:r>
    </w:p>
    <w:p>
      <w:pPr>
        <w:pStyle w:val="Heading6"/>
        <w:ind w:left="880"/>
      </w:pPr>
      <w:r>
        <w:t>二</w:t>
      </w:r>
    </w:p>
    <w:p>
      <w:pPr>
        <w:ind w:left="880"/>
      </w:pPr>
      <w:r>
        <w:t>実用新案登録の訂正</w:t>
      </w:r>
    </w:p>
    <w:p>
      <w:pPr>
        <w:pStyle w:val="Heading6"/>
        <w:ind w:left="880"/>
      </w:pPr>
      <w:r>
        <w:t>三</w:t>
      </w:r>
    </w:p>
    <w:p>
      <w:pPr>
        <w:ind w:left="880"/>
      </w:pPr>
      <w:r>
        <w:t>特許法（昭和三十四年法律第百二十一号）第四十六条の二第一項の規定による実用新案登録に基づく特許出願がされた旨</w:t>
      </w:r>
    </w:p>
    <w:p>
      <w:pPr>
        <w:pStyle w:val="Heading6"/>
        <w:ind w:left="880"/>
      </w:pPr>
      <w:r>
        <w:t>四</w:t>
      </w:r>
    </w:p>
    <w:p>
      <w:pPr>
        <w:ind w:left="880"/>
      </w:pPr>
      <w:r>
        <w:t>混同による専用実施権又は質権の消滅</w:t>
      </w:r>
    </w:p>
    <w:p>
      <w:pPr>
        <w:pStyle w:val="Heading6"/>
        <w:ind w:left="880"/>
      </w:pPr>
      <w:r>
        <w:t>五</w:t>
      </w:r>
    </w:p>
    <w:p>
      <w:pPr>
        <w:ind w:left="880"/>
      </w:pPr>
      <w:r>
        <w:t>審判の確定審決</w:t>
      </w:r>
    </w:p>
    <w:p>
      <w:pPr>
        <w:pStyle w:val="Heading6"/>
        <w:ind w:left="880"/>
      </w:pPr>
      <w:r>
        <w:t>六</w:t>
      </w:r>
    </w:p>
    <w:p>
      <w:pPr>
        <w:ind w:left="880"/>
      </w:pPr>
      <w:r>
        <w:t>再審の確定審決</w:t>
      </w:r>
    </w:p>
    <w:p>
      <w:pPr>
        <w:pStyle w:val="Heading4"/>
      </w:pPr>
      <w:r>
        <w:t>第六条の二（予告登録の嘱託）</w:t>
      </w:r>
    </w:p>
    <w:p>
      <w:r>
        <w:t>裁判所書記官は、第一条の三第一号又は第二号の訴えの提起があつたときは、職権で、遅滞なく、嘱託書に訴状の謄本又は抄本を添付して、予告登録を特許庁に嘱託するものとする。</w:t>
      </w:r>
    </w:p>
    <w:p>
      <w:pPr>
        <w:pStyle w:val="Heading4"/>
      </w:pPr>
      <w:r>
        <w:t>第六条の三（職権による予告登録）</w:t>
      </w:r>
    </w:p>
    <w:p>
      <w:r>
        <w:t>特許庁長官は、実用新案登録無効審判又は再審の請求があつたときは、職権で予告登録をしなければならない。</w:t>
      </w:r>
    </w:p>
    <w:p>
      <w:pPr>
        <w:pStyle w:val="Heading4"/>
      </w:pPr>
      <w:r>
        <w:t>第六条の四（予告登録の抹消）</w:t>
      </w:r>
    </w:p>
    <w:p>
      <w:r>
        <w:t>第一審裁判所の裁判所書記官は、第一条の三第一号若しくは第二号の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実用新案登録無効審判又は再審の請求について、請求書を却下した決定が確定したとき、請求を却下し、若しくは請求を理由がないとした審決が確定したとき、又は請求の取下げがあつたときは、職権で予告登録の抹消をしなければならない。</w:t>
      </w:r>
    </w:p>
    <w:p>
      <w:pPr>
        <w:pStyle w:val="Heading5"/>
        <w:ind w:left="440"/>
      </w:pPr>
      <w:r>
        <w:t>３</w:t>
      </w:r>
    </w:p>
    <w:p>
      <w:pPr>
        <w:ind w:left="440"/>
      </w:pPr>
      <w:r>
        <w:t>特許庁長官は、前二項に規定するもののほか、登録の原因の無効又は取消しにより登録の抹消又は回復をしたときその他予告登録の原因となつた事実が消滅したときは、職権で予告登録を抹消しなければならない。</w:t>
      </w:r>
    </w:p>
    <w:p>
      <w:pPr>
        <w:pStyle w:val="Heading4"/>
      </w:pPr>
      <w:r>
        <w:t>第七条（特許登録令の準用）</w:t>
      </w:r>
    </w:p>
    <w:p>
      <w:r>
        <w:t>特許登録令第十五条、第十八条から第二十一条まで、第二十三条、第二十四条、第二十七条から第三十七条まで、第三十八条（第一項第六号を除く。）、第三十九条から第四十三条まで、第四十六条から第五十三条まで、第五十五条から第五十五条の三まで、第五十五条の四（第二項を除く。）及び第五十五条の五から第六十九条まで（登録の手続）の規定は、実用新案に関する登録の手続に準用する。</w:t>
      </w:r>
    </w:p>
    <w:p>
      <w:r>
        <w:br w:type="page"/>
      </w:r>
    </w:p>
    <w:p>
      <w:pPr>
        <w:pStyle w:val="Heading1"/>
      </w:pPr>
      <w:r>
        <w:t>附　則</w:t>
      </w:r>
    </w:p>
    <w:p>
      <w:r>
        <w:t>この政令は、実用新案法の施行の日（昭和三十五年四月一日）から施行する。</w:t>
      </w:r>
    </w:p>
    <w:p>
      <w:pPr>
        <w:pStyle w:val="Heading5"/>
        <w:ind w:left="440"/>
      </w:pPr>
      <w:r>
        <w:t>２</w:t>
      </w:r>
    </w:p>
    <w:p>
      <w:pPr>
        <w:ind w:left="440"/>
      </w:pPr>
      <w:r>
        <w:t>実用新案関係費用及登録令（大正十年勅令第四百六十二号。以下「旧令」という。）による実用新案原簿又は実用新案信託原簿は、それぞれこの政令による実用新案登録原簿又は実用新案信託原簿とみなす。</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則（昭和三九年一〇月一日政令第三二四号）</w:t>
      </w:r>
    </w:p>
    <w:p>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　則（昭和五〇年九月二三日政令第二七五号）</w:t>
      </w:r>
    </w:p>
    <w:p>
      <w:r>
        <w:t>この政令は、昭和五十一年一月一日から施行する。</w:t>
      </w:r>
    </w:p>
    <w:p>
      <w:r>
        <w:br w:type="page"/>
      </w:r>
    </w:p>
    <w:p>
      <w:pPr>
        <w:pStyle w:val="Heading1"/>
      </w:pPr>
      <w:r>
        <w:t>附　則（昭和五四年一二月二一日政令第二九九号）</w:t>
      </w:r>
    </w:p>
    <w:p>
      <w:r>
        <w:t>この政令は、公布の日から施行する。</w:t>
      </w:r>
    </w:p>
    <w:p>
      <w:r>
        <w:br w:type="page"/>
      </w:r>
    </w:p>
    <w:p>
      <w:pPr>
        <w:pStyle w:val="Heading1"/>
      </w:pPr>
      <w:r>
        <w:t>附　則（昭和六〇年一〇月二九日政令第二八七号）</w:t>
      </w:r>
    </w:p>
    <w:p>
      <w:r>
        <w:t>この政令は、特許法等の一部を改正する法律（昭和六十年法律第四十一号。以下「改正法」という。）の施行の日（昭和六十年十一月一日）から施行する。</w:t>
      </w:r>
    </w:p>
    <w:p>
      <w:r>
        <w:br w:type="page"/>
      </w:r>
    </w:p>
    <w:p>
      <w:pPr>
        <w:pStyle w:val="Heading1"/>
      </w:pPr>
      <w:r>
        <w:t>附　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　則（平成二年九月七日政令第二五八号）</w:t>
      </w:r>
    </w:p>
    <w:p>
      <w:pPr>
        <w:pStyle w:val="Heading4"/>
      </w:pPr>
      <w:r>
        <w:t>第一条（施行期日）</w:t>
      </w:r>
    </w:p>
    <w:p>
      <w:r>
        <w:t>この政令は、法の施行の日（平成二年十二月一日）から施行する。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r>
    </w:p>
    <w:p>
      <w:pPr>
        <w:pStyle w:val="Heading5"/>
        <w:ind w:left="440"/>
      </w:pPr>
      <w:r>
        <w:t>３</w:t>
      </w:r>
    </w:p>
    <w:p>
      <w:pPr>
        <w:ind w:left="440"/>
      </w:pPr>
      <w:r>
        <w:t>第一項の場合において、この政令の施行後に請求される明細書又は図面の訂正については、同項の規定によりなおその効力を有するものとされる旧実用新案登録令第一条第一号及び第二条中「、第四十条第一項又は」とあるのは「又は」と、第六条第二号中「審判若しくは再審による明細書若しくは図面の訂正若しくはその無効又は再審による訂正の回復」とあるのは「審判又は再審による明細書又は図面の訂正」と、同条第五号中「、第四十条第一項又は」とあるのは「又は」と読み替えるものとす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pPr>
        <w:pStyle w:val="Heading4"/>
      </w:pPr>
      <w:r>
        <w:t>第三条（実用新案登録令の改正に伴う経過措置）</w:t>
      </w:r>
    </w:p>
    <w:p>
      <w:r>
        <w:t>この政令の施行前にした外国語実用新案登録出願（改正法第三条の規定による改正前の実用新案法（昭和三十四年法律第百二十三号）第四十八条の十四第四項の規定により実用新案登録出願とみなされた国際出願であって外国語でされたものを含む。）に係る実用新案登録についての改正法第三条の規定による改正前の実用新案法第四十八条の十二第一項の審判及びその確定審決に対する再審に係る登録については、第八条の規定による改正後の実用新案登録令の規定にかかわらず、なお従前の例による。</w:t>
      </w:r>
    </w:p>
    <w:p>
      <w:r>
        <w:br w:type="page"/>
      </w:r>
    </w:p>
    <w:p>
      <w:pPr>
        <w:pStyle w:val="Heading1"/>
      </w:pPr>
      <w:r>
        <w:t>附　則（平成八年九月一三日政令第二七四号）</w:t>
      </w:r>
    </w:p>
    <w:p>
      <w:r>
        <w:t>この政令は、平成九年四月一日から施行する。</w:t>
      </w:r>
    </w:p>
    <w:p>
      <w:r>
        <w:br w:type="page"/>
      </w:r>
    </w:p>
    <w:p>
      <w:pPr>
        <w:pStyle w:val="Heading1"/>
      </w:pPr>
      <w:r>
        <w:t>附　則（平成一一年五月二六日政令第一六〇号）</w:t>
      </w:r>
    </w:p>
    <w:p>
      <w:r>
        <w:t>この政令は、特許法等の一部を改正する法律（平成十一年法律第四十一号）の一部の施行の日（平成十一年六月一日）から施行する。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則（平成一七年一月二〇日政令第六号）</w:t>
      </w:r>
    </w:p>
    <w:p>
      <w:r>
        <w:t>この政令は、平成十七年四月一日から施行する。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実用新案登録令</w:t>
      <w:br/>
      <w:tab/>
      <w:t>（昭和三十五年政令第四十号）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実用新案登録令（昭和三十五年政令第四十号）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