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小型自動車競走法施行令</w:t>
        <w:br/>
        <w:t>（昭和二十八年政令第二百五十五号）</w:t>
      </w:r>
    </w:p>
    <w:p>
      <w:pPr>
        <w:pStyle w:val="Heading4"/>
      </w:pPr>
      <w:r>
        <w:t>第一条（競走実施法人の指定の有効期間）</w:t>
      </w:r>
    </w:p>
    <w:p>
      <w:r>
        <w:t>小型自動車競走法（以下「法」という。）第四十三条第一項の政令で定める期間は、五年とする。</w:t>
      </w:r>
    </w:p>
    <w:p>
      <w:pPr>
        <w:pStyle w:val="Heading4"/>
      </w:pPr>
      <w:r>
        <w:t>第二条（地方公共団体が処理する事務）</w:t>
      </w:r>
    </w:p>
    <w:p>
      <w:r>
        <w:t>法第六十条の小型自動車競走の実施に関する事務で地方公共団体が処理しなければならないものは、経済産業省令で定める事項を記載した小型自動車競走の実施に関する規程の作成に関する事務とする。</w:t>
      </w:r>
    </w:p>
    <w:p>
      <w:r>
        <w:br w:type="page"/>
      </w:r>
    </w:p>
    <w:p>
      <w:pPr>
        <w:pStyle w:val="Heading1"/>
      </w:pPr>
      <w:r>
        <w:t>附　則</w:t>
      </w:r>
    </w:p>
    <w:p>
      <w:r>
        <w:t>この政令は、昭和二十八年九月一日から施行する。</w:t>
      </w:r>
    </w:p>
    <w:p>
      <w:r>
        <w:br w:type="page"/>
      </w:r>
    </w:p>
    <w:p>
      <w:pPr>
        <w:pStyle w:val="Heading1"/>
      </w:pPr>
      <w:r>
        <w:t>附則（昭和三七年九月二五日政令第三七一号）</w:t>
      </w:r>
    </w:p>
    <w:p>
      <w:r>
        <w:t>この政令は、自転車競技法及び小型自動車競走法の一部を改正する法律の施行の日（昭和三十七年十月一日）から施行する。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附則（平成一九年九月一四日政令第二八七号）</w:t>
      </w:r>
    </w:p>
    <w:p>
      <w:r>
        <w:t>この政令は、法附則第一条第二号に掲げる規定の施行の日から施行する。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小型自動車競走法施行令</w:t>
      <w:br/>
      <w:tab/>
      <w:t>（昭和二十八年政令第二百五十五号）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小型自動車競走法施行令（昭和二十八年政令第二百五十五号）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