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小笠原諸島振興開発審議会令</w:t>
        <w:br/>
        <w:t>（昭和四十四年政令第二百八十六号）</w:t>
      </w:r>
    </w:p>
    <w:p>
      <w:pPr>
        <w:pStyle w:val="Heading4"/>
      </w:pPr>
      <w:r>
        <w:t>第一条（幹事）</w:t>
      </w:r>
    </w:p>
    <w:p>
      <w:r>
        <w:t>小笠原諸島振興開発審議会（以下「審議会」という。）に、幹事二十人以内を置く。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幹事は、関係行政機関及び関係地方公共団体の職員のうちから、国土交通大臣が任命する。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幹事は、審議会の事務について、関係行政機関及び関係地方公共団体との連絡にあたる。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第二条（議事の手続）</w:t>
      </w:r>
    </w:p>
    <w:p>
      <w:r>
        <w:t>審議会は、委員及び議事に関係のある臨時委員の過半数が出席しなければ、議事を開き、議決をすることができない。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審議会の議事は、出席した委員及び議事に関係のある臨時委員の過半数で決し、可否同数のときは、会長の決するところによる。</w:t>
      </w:r>
    </w:p>
    <w:p>
      <w:pPr>
        <w:pStyle w:val="Heading4"/>
      </w:pPr>
      <w:r>
        <w:t>第三条（庶務）</w:t>
      </w:r>
    </w:p>
    <w:p>
      <w:r>
        <w:t>審議会の庶務は、国土交通省国土政策局特別地域振興官において処理する。</w:t>
      </w:r>
    </w:p>
    <w:p>
      <w:pPr>
        <w:pStyle w:val="Heading4"/>
      </w:pPr>
      <w:r>
        <w:t>第四条（雑則）</w:t>
      </w:r>
    </w:p>
    <w:p>
      <w:r>
        <w:t>この政令に定めるもののほか、審議会の運営に関し必要な事項は、会長が審議会にはかつて定める。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則（昭和四九年六月二六日政令第二二五号）</w:t>
      </w:r>
    </w:p>
    <w:p>
      <w:pPr>
        <w:pStyle w:val="Heading4"/>
      </w:pPr>
      <w:r>
        <w:t>第一条（施行期日）</w:t>
      </w:r>
    </w:p>
    <w:p>
      <w:r>
        <w:t>この政令は、国土庁設置法の施行の日から施行する。</w:t>
      </w:r>
    </w:p>
    <w:p>
      <w:r>
        <w:br w:type="page"/>
      </w:r>
    </w:p>
    <w:p>
      <w:pPr>
        <w:pStyle w:val="Heading1"/>
      </w:pPr>
      <w:r>
        <w:t>附　則（昭和五四年三月三一日政令第六八号）</w:t>
      </w:r>
    </w:p>
    <w:p>
      <w:r>
        <w:t>この政令は、昭和五十四年四月一日から施行する。</w:t>
      </w:r>
    </w:p>
    <w:p>
      <w:r>
        <w:br w:type="page"/>
      </w:r>
    </w:p>
    <w:p>
      <w:pPr>
        <w:pStyle w:val="Heading1"/>
      </w:pPr>
      <w:r>
        <w:t>附　則（平成元年三月三一日政令第九一号）</w:t>
      </w:r>
    </w:p>
    <w:p>
      <w:r>
        <w:t>この政令は、平成元年四月一日から施行する。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則（平成一二年六月七日政令第三一二号）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則（平成一七年六月二九日政令第二二七号）</w:t>
      </w:r>
    </w:p>
    <w:p>
      <w:r>
        <w:t>この政令は、平成十七年七月一日から施行する。</w:t>
      </w:r>
    </w:p>
    <w:p>
      <w:r>
        <w:br w:type="page"/>
      </w:r>
    </w:p>
    <w:p>
      <w:pPr>
        <w:pStyle w:val="Heading1"/>
      </w:pPr>
      <w:r>
        <w:t>附　則（平成二三年七月一日政令第二〇三号）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小笠原諸島振興開発審議会令</w:t>
      <w:br/>
      <w:tab/>
      <w:t>（昭和四十四年政令第二百八十六号）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小笠原諸島振興開発審議会令（昭和四十四年政令第二百八十六号）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