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少子化社会対策会議令</w:t>
        <w:br/>
        <w:t>（平成十五年政令第三百八十六号）</w:t>
      </w:r>
    </w:p>
    <w:p>
      <w:pPr>
        <w:pStyle w:val="Heading4"/>
      </w:pPr>
      <w:r>
        <w:t>第一条（会長）</w:t>
      </w:r>
    </w:p>
    <w:p>
      <w:r>
        <w:t>会長は、会務を総理する。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会長に事故があるときは、会長があらかじめ指名する委員が、その職務を代理する。</w:t>
      </w:r>
    </w:p>
    <w:p>
      <w:pPr>
        <w:pStyle w:val="Heading4"/>
      </w:pPr>
      <w:r>
        <w:t>第二条（庶務）</w:t>
      </w:r>
    </w:p>
    <w:p>
      <w:r>
        <w:t>少子化社会対策会議の庶務は、内閣府子ども・子育て本部に置かれる統括官が処理する。</w:t>
      </w:r>
    </w:p>
    <w:p>
      <w:pPr>
        <w:pStyle w:val="Heading4"/>
      </w:pPr>
      <w:r>
        <w:t>第三条（雑則）</w:t>
      </w:r>
    </w:p>
    <w:p>
      <w:r>
        <w:t>前二条に定めるもののほか、議事の手続その他少子化社会対策会議の運営に関し必要な事項は、会長が少子化社会対策会議に諮って定める。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この政令は、少子化社会対策基本法の施行の日（平成十五年九月一日）から施行する。</w:t>
      </w:r>
    </w:p>
    <w:p>
      <w:r>
        <w:br w:type="page"/>
      </w:r>
    </w:p>
    <w:p>
      <w:pPr>
        <w:pStyle w:val="Heading1"/>
      </w:pPr>
      <w:r>
        <w:t>附　則（平成二七年三月三一日政令第一五七号）</w:t>
      </w:r>
    </w:p>
    <w:p>
      <w:r>
        <w:t>この政令は、平成二十七年四月一日から施行する。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少子化社会対策会議令</w:t>
      <w:br/>
      <w:tab/>
      <w:t>（平成十五年政令第三百八十六号）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少子化社会対策会議令（平成十五年政令第三百八十六号）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