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就学前の子どもに関する教育、保育等の総合的な提供の推進に関する法律施行規則に係る民間事業者等が行う書面の保存等における情報通信の技術の利用に関する法律施行規則</w:t>
        <w:br/>
        <w:t>（平成二十七年内閣府・文部科学省・厚生労働省令第一号）</w:t>
      </w:r>
    </w:p>
    <w:p>
      <w:pPr>
        <w:pStyle w:val="Heading4"/>
      </w:pPr>
      <w:r>
        <w:t>第一条（趣旨）</w:t>
      </w:r>
    </w:p>
    <w:p>
      <w:r>
        <w:t>民間事業者等が、就学前の子どもに関する教育、保育等の総合的な提供の推進に関する法律施行規則（平成二十六年内閣府・文部科学省・厚生労働省令第二号。以下「認定こども園法施行規則」という。）に係る保存等を、電磁的記録を使用して行う場合については、この命令の定めるところによる。</w:t>
      </w:r>
    </w:p>
    <w:p>
      <w:pPr>
        <w:pStyle w:val="Heading4"/>
      </w:pPr>
      <w:r>
        <w:t>第二条（定義）</w:t>
      </w:r>
    </w:p>
    <w:p>
      <w:r>
        <w:t>この命令において使用する用語は、民間事業者等が行う書面の保存等における情報通信の技術の利用に関する法律（以下「法」という。）において使用する用語の例による。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認定こども園法施行規則第二十六条の規定により準用する学校教育法施行規則（昭和二十二年文部省令第十一号）第二十八条第一項の規定に基づく書面の保存とする。</w:t>
      </w:r>
    </w:p>
    <w:p>
      <w:pPr>
        <w:pStyle w:val="Heading4"/>
      </w:pPr>
      <w:r>
        <w:t>第四条（電磁的記録による保存）</w:t>
      </w:r>
    </w:p>
    <w:p>
      <w:r>
        <w:t>民間事業者等が、法第三条第一項の規定に基づき、前条の規定に基づく書面の保存に代えて当該書面に係る電磁的記録の保存を行う場合は、次に掲げる方法のいずれかにより行わなければならない。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民間事業者等の使用に係る電子計算機その他の機器に表示及び書面を作成できる措置を講じなければならない。</w:t>
      </w:r>
    </w:p>
    <w:p>
      <w:pPr>
        <w:pStyle w:val="Heading4"/>
      </w:pPr>
      <w:r>
        <w:t>第五条（法第四条第一項の主務省令で定める作成）</w:t>
      </w:r>
    </w:p>
    <w:p>
      <w:r>
        <w:t>法第四条第一項の主務省令で定める作成は、認定こども園法施行規則第三十条第一項から第三項までの規定に基づく書面の作成とする。</w:t>
      </w:r>
    </w:p>
    <w:p>
      <w:pPr>
        <w:pStyle w:val="Heading4"/>
      </w:pPr>
      <w:r>
        <w:t>第六条（電磁的記録による作成）</w:t>
      </w:r>
    </w:p>
    <w:p>
      <w:r>
        <w:t>民間事業者等が、法第四条第一項の規定に基づき、前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第七条（法第六条第一項の主務省令で定める交付等）</w:t>
      </w:r>
    </w:p>
    <w:p>
      <w:r>
        <w:t>法第六条第一項の主務省令で定める交付等は、認定こども園法施行規則第三十条第二項及び第三項の規定に基づく書面の交付等とする。</w:t>
      </w:r>
    </w:p>
    <w:p>
      <w:pPr>
        <w:pStyle w:val="Heading4"/>
      </w:pPr>
      <w:r>
        <w:t>第八条（電磁的記録による交付等）</w:t>
      </w:r>
    </w:p>
    <w:p>
      <w:r>
        <w:t>民間事業者等が、法第六条第一項の規定に基づき、前条の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第九条（電磁的方法による交付等の承諾）</w:t>
      </w:r>
    </w:p>
    <w:p>
      <w:r>
        <w:t>民間事業者等が行う書面の保存等における情報通信の技術の利用に関する法律施行令第二条第一項の規定により示すべき電磁的方法の種類及び内容は、次に掲げる事項とする。</w:t>
      </w:r>
    </w:p>
    <w:p>
      <w:pPr>
        <w:pStyle w:val="ListBullet"/>
        <w:ind w:left="880"/>
      </w:pPr>
      <w:r>
        <w:t>一</w:t>
        <w:br/>
        <w:t>前条第一項各号に掲げる方法のうち民間事業者等が使用するもの</w:t>
      </w:r>
    </w:p>
    <w:p>
      <w:pPr>
        <w:pStyle w:val="ListBullet"/>
        <w:ind w:left="880"/>
      </w:pPr>
      <w:r>
        <w:t>二</w:t>
        <w:br/>
        <w:t>ファイルへの記録の方式</w:t>
      </w:r>
    </w:p>
    <w:p>
      <w:r>
        <w:br w:type="page"/>
      </w:r>
    </w:p>
    <w:p>
      <w:pPr>
        <w:pStyle w:val="Heading1"/>
      </w:pPr>
      <w:r>
        <w:t>附　則</w:t>
      </w:r>
    </w:p>
    <w:p>
      <w:r>
        <w:t>この命令は、就学前の子どもに関する教育、保育等の総合的な提供の推進に関する法律の一部を改正する法律（平成二十四年法律第六十六号）の施行の日（平成二十七年四月一日）から施行する。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就学前の子どもに関する教育、保育等の総合的な提供の推進に関する法律施行規則に係る民間事業者等が行う書面の保存等における情報通信の技術の利用に関する法律施行規則</w:t>
      <w:br/>
      <w:tab/>
      <w:t>（平成二十七年内閣府・文部科学省・厚生労働省令第一号）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施行規則に係る民間事業者等が行う書面の保存等における情報通信の技術の利用に関する法律施行規則（平成二十七年内閣府・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