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工業所有権審議会令</w:t>
        <w:br/>
        <w:t>（平成十二年政令第二百九十四号）</w:t>
      </w:r>
    </w:p>
    <w:p>
      <w:pPr>
        <w:pStyle w:val="Heading4"/>
      </w:pPr>
      <w:r>
        <w:t>第一条（組織）</w:t>
      </w:r>
    </w:p>
    <w:p>
      <w:r>
        <w:t>工業所有権審議会（以下「審議会」という。）は、委員三十人以内で組織する。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5"/>
        <w:ind w:left="440"/>
      </w:pPr>
      <w:r>
        <w:t>４</w:t>
      </w:r>
    </w:p>
    <w:p>
      <w:pPr>
        <w:ind w:left="440"/>
      </w:pPr>
      <w:r>
        <w:t>審議会に、弁理士試験（弁理士法（平成十二年法律第四十九号）第九条に規定する弁理士試験をいう。以下同じ。）又は特定侵害訴訟代理業務試験（同法第十五条の二第一項に規定する特定侵害訴訟代理業務試験をいう。以下同じ。）の問題の作成及び採点を行わせるため必要があるときは、試験委員を置くことができる。</w:t>
      </w:r>
    </w:p>
    <w:p>
      <w:pPr>
        <w:pStyle w:val="Heading4"/>
      </w:pPr>
      <w:r>
        <w:t>第二条（委員等の任命）</w:t>
      </w:r>
    </w:p>
    <w:p>
      <w:r>
        <w:t>委員及び臨時委員は、弁理士及び学識経験のある者のうちから、特許庁長官が任命する。</w:t>
      </w:r>
    </w:p>
    <w:p>
      <w:pPr>
        <w:pStyle w:val="Heading5"/>
        <w:ind w:left="440"/>
      </w:pPr>
      <w:r>
        <w:t>２</w:t>
      </w:r>
    </w:p>
    <w:p>
      <w:pPr>
        <w:ind w:left="440"/>
      </w:pPr>
      <w:r>
        <w:t>専門委員は、弁理士及び当該専門の事項に関し学識経験のある者のうちから、特許庁長官が任命する。</w:t>
      </w:r>
    </w:p>
    <w:p>
      <w:pPr>
        <w:pStyle w:val="Heading5"/>
        <w:ind w:left="440"/>
      </w:pPr>
      <w:r>
        <w:t>３</w:t>
      </w:r>
    </w:p>
    <w:p>
      <w:pPr>
        <w:ind w:left="440"/>
      </w:pPr>
      <w:r>
        <w:t>試験委員は、弁理士及び弁理士試験又は特定侵害訴訟代理業務試験を行うについて必要な学識経験のある者のうちから、特許庁長官が任命する。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試験委員は、当該弁理士試験又は特定侵害訴訟代理業務試験の問題の作成及び採点が終了したときは、解任されるものとする。</w:t>
      </w:r>
    </w:p>
    <w:p>
      <w:pPr>
        <w:pStyle w:val="Heading5"/>
        <w:ind w:left="440"/>
      </w:pPr>
      <w:r>
        <w:t>６</w:t>
      </w:r>
    </w:p>
    <w:p>
      <w:pPr>
        <w:ind w:left="440"/>
      </w:pPr>
      <w:r>
        <w:t>委員、臨時委員、専門委員及び試験委員は、非常勤とする。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審議会に、弁理士審査分科会（以下「分科会」という。）を置く。</w:t>
      </w:r>
    </w:p>
    <w:p>
      <w:pPr>
        <w:pStyle w:val="Heading5"/>
        <w:ind w:left="440"/>
      </w:pPr>
      <w:r>
        <w:t>２</w:t>
      </w:r>
    </w:p>
    <w:p>
      <w:pPr>
        <w:ind w:left="440"/>
      </w:pPr>
      <w:r>
        <w:t>分科会は、審議会の所掌事務のうち、弁理士法の規定に基づき審議会の権限に属させられた事項を処理することをつかさどる。</w:t>
      </w:r>
    </w:p>
    <w:p>
      <w:pPr>
        <w:pStyle w:val="Heading5"/>
        <w:ind w:left="440"/>
      </w:pPr>
      <w:r>
        <w:t>３</w:t>
      </w:r>
    </w:p>
    <w:p>
      <w:pPr>
        <w:ind w:left="440"/>
      </w:pPr>
      <w:r>
        <w:t>分科会に属すべき委員、臨時委員、専門委員及び試験委員は、特許庁長官が指名する。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部会に属すべき委員、臨時委員、専門委員及び試験委員は、会長（分科会に置かれる部会にあっては、分科会長）が指名する。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審議会の庶務は、特許庁総務部において処理する。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則（平成一四年一二月一八日政令第三七八号）</w:t>
      </w:r>
    </w:p>
    <w:p>
      <w:r>
        <w:t>この政令は、弁理士法の一部を改正する法律の施行の日（平成十五年一月一日）から施行する。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工業所有権審議会令</w:t>
      <w:br/>
      <w:tab/>
      <w:t>（平成十二年政令第二百九十四号）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工業所有権審議会令（平成十二年政令第二百九十四号）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