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平成七年度における地方財政法第三十三条の二第二項の額の算定に関する省令</w:t>
        <w:br/>
        <w:t>（平成七年自治省令第二十三号）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七年度の個人の道府県民税又は市町村民税の所得割の収入見込額から当該地方公共団体の平成七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ListBullet"/>
        <w:ind w:left="880"/>
      </w:pPr>
      <w:r>
        <w:t>一</w:t>
        <w:br/>
        <w:t>都道府県</w:t>
        <w:br/>
        <w:br/>
        <w:br/>
        <w:t>次の算式により算定した額とする。</w:t>
      </w:r>
    </w:p>
    <w:p>
      <w:pPr>
        <w:pStyle w:val="ListBullet"/>
        <w:ind w:left="880"/>
      </w:pPr>
      <w:r>
        <w:t>二</w:t>
        <w:br/>
        <w:t>市町村</w:t>
        <w:br/>
        <w:br/>
        <w:br/>
        <w:t>次の算式により算定した額とする。</w:t>
      </w:r>
    </w:p>
    <w:p>
      <w:pPr>
        <w:pStyle w:val="ListBullet"/>
        <w:ind w:left="880"/>
      </w:pPr>
      <w:r>
        <w:t>三</w:t>
        <w:br/>
        <w:t>特別区</w:t>
        <w:br/>
        <w:br/>
        <w:br/>
        <w:t>特別区ごとの額の総額が（一）に定める方法によって算定した額と同額となるように自治大臣が（二）に定める方法によって特別区ごとに算定して当該特別区に通知した額とする。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平成七年度における地方財政法第三十三条の二第二項の額の算定に関する省令</w:t>
      <w:br/>
      <w:tab/>
      <w:t>（平成七年自治省令第二十三号）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平成七年度における地方財政法第三十三条の二第二項の額の算定に関する省令（平成七年自治省令第二十三号）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