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平成七年度における旧令による共済組合等からの年金受給者のための特別措置法等の規定による年金の額の改定に関する政令</w:t>
        <w:br/>
        <w:t>（平成七年政令第二百九号）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平成六年度改定令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七年四月分以後、その額を、平成六年度改定令第二条の規定により改定された年金額の算定の基礎となっている平成六年度改定令別表第一の仮定俸給（同条第四項又は第十二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次の各号に掲げる年金については、前三項の規定の適用を受けて改定された額が当該各号に定める額に満たないときは、平成七年四月分以後、その額を、当該各号に定める額に改定する。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七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Heading6"/>
        <w:ind w:left="880"/>
      </w:pPr>
      <w:r>
        <w:t>二</w:t>
      </w:r>
    </w:p>
    <w:p>
      <w:pPr>
        <w:ind w:left="880"/>
      </w:pPr>
      <w:r>
        <w:t>国家公務員等共済組合法施行令（昭和三十三年政令第二百七号）第十一条の七の四各号に掲げる年金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七年四月分以後、その額を、平成六年度改定令第三条の規定により改定された年金額の算定の基礎となっている平成六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次の各号に掲げる年金については、前二項の規定の適用を受けて改定された額が当該各号に定める額に満たないときは、平成七年四月分以後、その額を、当該各号に定める額に改定する。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千九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扶養遺族一人につき二万四千円（そのうち二人までについては、一人につき六万六千円）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七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七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平成七年度における旧令による共済組合等からの年金受給者のための特別措置法等の規定による年金の額の改定に関する政令</w:t>
      <w:br/>
      <w:tab/>
      <w:t>（平成七年政令第二百九号）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平成七年度における旧令による共済組合等からの年金受給者のための特別措置法等の規定による年金の額の改定に関する政令（平成七年政令第二百九号）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