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平成七年度における私立学校教職員共済組合からの旧法の規定による年金等の額の改定に関する政令</w:t>
        <w:br/>
        <w:t>（平成七年政令第二百十九号）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平成七年四月分以後、その額を、平成六年度における私立学校教職員共済組合からの旧法の規定による年金等の額の改定に関する政令（平成六年政令第二百三十二号）第一条第一項の規定による年金の額の改定の基礎となった平均標準給与の月額に一・〇一一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定める額の十二倍に相当する額を加えた額に改定する。</w:t>
      </w:r>
    </w:p>
    <w:p>
      <w:pPr>
        <w:pStyle w:val="ListBullet"/>
        <w:ind w:left="880"/>
      </w:pPr>
      <w:r>
        <w:t>一</w:t>
        <w:br/>
        <w:t>退職年金又は障害年金</w:t>
        <w:br/>
        <w:br/>
        <w:br/>
        <w:t>当該年金の額の計算の基礎となった組合員であった期間の年数から二十年を控除した年数（以下この条において「控除後の年数」という。）一年につき前項の規定により平均標準給与の月額とみなされた額の三百分の一（控除後の年数のうち十三年に達するまでの年数については、三百分の二）に相当する金額</w:t>
      </w:r>
    </w:p>
    <w:p>
      <w:pPr>
        <w:pStyle w:val="ListBullet"/>
        <w:ind w:left="880"/>
      </w:pPr>
      <w:r>
        <w:t>二</w:t>
        <w:br/>
        <w:t>遺族年金</w:t>
        <w:br/>
        <w:br/>
        <w:br/>
        <w:t>控除後の年数一年につき前項の規定により平均標準給与の月額とみなされた額の六百分の一（控除後の年数のうち十三年に達するまでの年数については、六百分の二）に相当する金額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定める額に満たないときは、平成七年四月分以後、その額を当該各号に定める額に改定する。</w:t>
      </w:r>
    </w:p>
    <w:p>
      <w:pPr>
        <w:pStyle w:val="ListBullet"/>
        <w:ind w:left="880"/>
      </w:pPr>
      <w:r>
        <w:t>一</w:t>
        <w:br/>
        <w:t>退職年金</w:t>
        <w:br/>
        <w:br/>
        <w:br/>
        <w:t>百九万千三百円</w:t>
      </w:r>
    </w:p>
    <w:p>
      <w:pPr>
        <w:pStyle w:val="ListBullet"/>
        <w:ind w:left="880"/>
      </w:pPr>
      <w:r>
        <w:t>二</w:t>
        <w:br/>
        <w:t>障害年金</w:t>
        <w:br/>
        <w:br/>
        <w:br/>
        <w:t>次のイ又はロに掲げる年金の区分に応じそれぞれイ又はロに定める額</w:t>
      </w:r>
    </w:p>
    <w:p>
      <w:pPr>
        <w:pStyle w:val="ListBullet"/>
        <w:ind w:left="880"/>
      </w:pPr>
      <w:r>
        <w:t>三</w:t>
        <w:br/>
        <w:t>遺族年金</w:t>
        <w:br/>
        <w:br/>
        <w:br/>
        <w:t>七十六万三千百円</w:t>
      </w:r>
    </w:p>
    <w:p>
      <w:pPr>
        <w:pStyle w:val="Heading5"/>
        <w:ind w:left="440"/>
      </w:pPr>
      <w:r>
        <w:t>２</w:t>
      </w:r>
    </w:p>
    <w:p>
      <w:pPr>
        <w:ind w:left="440"/>
      </w:pPr>
      <w:r>
        <w:t>前条の規定の適用を受ける障害年金を受ける者が六十五歳に達した場合において、その者が受ける同条の規定による改定後の年金額が前項第二号イ（1）から（4）までに掲げる年金の区分に応じ当該年金につき定める額に満たないときは、その達した日の属する月の翌月分以後、その額を当該年金につき定める額に改定する。</w:t>
      </w:r>
    </w:p>
    <w:p>
      <w:pPr>
        <w:pStyle w:val="Heading4"/>
      </w:pPr>
      <w:r>
        <w:t>第三条（旧法の規定による遺族年金に係る寡婦加算）</w:t>
      </w:r>
    </w:p>
    <w:p>
      <w:r>
        <w:t>前二条の規定の適用を受ける遺族年金を受ける者（以下この条において「旧法遺族年金受給者」という。）が妻であり、かつ、次の各号のいずれかに該当する場合には、これらの規定により算定した額（以下この条において「改定後の年金額」という。）に当該各号に定める額を加えた額をもって遺族年金の額とする。</w:t>
      </w:r>
    </w:p>
    <w:p>
      <w:pPr>
        <w:pStyle w:val="ListBullet"/>
        <w:ind w:left="880"/>
      </w:pPr>
      <w:r>
        <w:t>一</w:t>
        <w:br/>
        <w:t>遺族である子が一人いる場合</w:t>
        <w:br/>
        <w:br/>
        <w:br/>
        <w:t>十五万六百円</w:t>
      </w:r>
    </w:p>
    <w:p>
      <w:pPr>
        <w:pStyle w:val="ListBullet"/>
        <w:ind w:left="880"/>
      </w:pPr>
      <w:r>
        <w:t>二</w:t>
        <w:br/>
        <w:t>遺族である子が二人以上いる場合</w:t>
        <w:br/>
        <w:br/>
        <w:br/>
        <w:t>二十六万三千六百円</w:t>
      </w:r>
    </w:p>
    <w:p>
      <w:pPr>
        <w:pStyle w:val="ListBullet"/>
        <w:ind w:left="880"/>
      </w:pPr>
      <w:r>
        <w:t>三</w:t>
        <w:br/>
        <w:t>六十歳以上である場合（前二号に該当する場合を除く。）</w:t>
        <w:br/>
        <w:br/>
        <w:br/>
        <w:t>十五万六百円</w:t>
      </w:r>
    </w:p>
    <w:p>
      <w:pPr>
        <w:pStyle w:val="Heading5"/>
        <w:ind w:left="440"/>
      </w:pPr>
      <w:r>
        <w:t>２</w:t>
      </w:r>
    </w:p>
    <w:p>
      <w:pPr>
        <w:ind w:left="440"/>
      </w:pPr>
      <w:r>
        <w:t>前項の場合において、旧法遺族年金受給者である妻が当該遺族年金に係る組合員又は組合員であった者の死亡について次に掲げる場合に該当するときは、その該当する間は、同項の規定による加算は行わない。</w:t>
      </w:r>
    </w:p>
    <w:p>
      <w:pPr>
        <w:pStyle w:val="ListBullet"/>
        <w:ind w:left="880"/>
      </w:pPr>
      <w:r>
        <w:t>一</w:t>
        <w:b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ListBullet"/>
        <w:ind w:left="880"/>
      </w:pPr>
      <w:r>
        <w:t>二</w:t>
        <w:br/>
        <w:t>国家公務員等共済組合法等の一部を改正する法律（昭和六十年法律第百五号。以下この号において「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この号において「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次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平成二年度における旧令による共済組合等からの年金受給者のための特別措置法等の規定による年金の額の改定に関する政令（平成二年政令第二百五号）第二条第七項各号に掲げる給付（その全額の支給を停止されている給付を除く。）の支給を受けることができるときは、その受けることができる間は、第一項の規定による加算は行わない。</w:t>
        <w:br/>
        <w:t>ただし、改定後の年金額が七十九万円に満たないときは、この限りでない。</w:t>
      </w:r>
    </w:p>
    <w:p>
      <w:pPr>
        <w:pStyle w:val="Heading5"/>
        <w:ind w:left="440"/>
      </w:pPr>
      <w:r>
        <w:t>４</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七十九万円を超えるときにおいては、同項の規定にかかわらず、七十九万円から改定後の年金額を控除した額とする。</w:t>
      </w:r>
    </w:p>
    <w:p>
      <w:pPr>
        <w:pStyle w:val="Heading5"/>
        <w:ind w:left="440"/>
      </w:pPr>
      <w:r>
        <w:t>５</w:t>
      </w:r>
    </w:p>
    <w:p>
      <w:pPr>
        <w:ind w:left="440"/>
      </w:pPr>
      <w:r>
        <w:t>旧法遺族年金受給者が六十歳未満の妻であり、かつ、遺族である子がいない場合において、その者が六十歳に達したときは、その達した日の属する月の翌月分以後、前各項の規定によりその遺族年金の額を改定する。</w:t>
      </w:r>
    </w:p>
    <w:p>
      <w:pPr>
        <w:pStyle w:val="Heading4"/>
      </w:pPr>
      <w:r>
        <w:t>第四条（恩給財団の年金の額の改定）</w:t>
      </w:r>
    </w:p>
    <w:p>
      <w:r>
        <w:t>私立学校教職員共済組合が私立学校教職員共済組合法附則第十一項の規定により権利義務を承継したことにより支給すべき義務を負う旧財団法人私学恩給財団の年金及び旧法附則第二十項の規定により旧財団法人私学恩給財団における従前の例によることとされた年金については、平成七年四月分以後、その額を、昭和四十四年改定法第三条の規定による改定前の年金額にそれぞれ対応する別表の下欄に掲げる額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って、五十円以上百円未満の端数があるときはこれを百円に切り上げた金額をもってこの政令の規定による改定年金額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平成七年度における私立学校教職員共済組合からの旧法の規定による年金等の額の改定に関する政令</w:t>
      <w:br/>
      <w:tab/>
      <w:t>（平成七年政令第二百十九号）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平成七年度における私立学校教職員共済組合からの旧法の規定による年金等の額の改定に関する政令（平成七年政令第二百十九号）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