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平成七年度における私立学校教職員共済組合からの旧法の規定による年金等の額の改定に関する政令</w:t>
        <w:br/>
        <w:t>（平成七年政令第二百十九号）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七年四月分以後、その額を、平成六年度における私立学校教職員共済組合からの旧法の規定による年金等の額の改定に関する政令（平成六年政令第二百三十二号）第一条第一項の規定による年金の額の改定の基礎となった平均標準給与の月額に一・〇一一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満たないときは、平成七年四月分以後、その額を当該各号に定め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障害年金を受ける者が六十五歳に達した場合において、その者が受ける同条の規定による改定後の年金額が前項第二号イ（1）から（4）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七十九万円を超えるときにおいては、同項の規定にかかわらず、七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七年四月分以後、その額を、昭和四十四年改定法第三条の規定による改定前の年金額にそれぞれ対応する別表の下欄に掲げる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平成七年度における私立学校教職員共済組合からの旧法の規定による年金等の額の改定に関する政令</w:t>
      <w:br/>
      <w:tab/>
      <w:t>（平成七年政令第二百十九号）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平成七年度における私立学校教職員共済組合からの旧法の規定による年金等の額の改定に関する政令（平成七年政令第二百十九号）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