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平成三十年等における特定地域に係る激甚災害及びこれに対し適用すべき措置の指定に関する政令</w:t>
        <w:br/>
        <w:t>（平成三十一年政令第四十三号）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pPr>
        <w:pStyle w:val="Heading5"/>
        <w:ind w:left="440"/>
      </w:pPr>
      <w:r>
        <w:t>２</w:t>
      </w:r>
    </w:p>
    <w:p>
      <w:pPr>
        <w:ind w:left="440"/>
      </w:pPr>
      <w:r>
        <w:t>平成三十年八月二十日から九月五日までの間の暴風雨及び豪雨による新潟県岩船郡粟島浦村等の区域に係る災害についての激甚災害並びにこれに対し適用すべき措置の指定に関する政令（平成三十年政令第二百八十八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平成三十年等における特定地域に係る激甚災害及びこれに対し適用すべき措置の指定に関する政令</w:t>
      <w:br/>
      <w:tab/>
      <w:t>（平成三十一年政令第四十三号）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平成三十年等における特定地域に係る激甚災害及びこれに対し適用すべき措置の指定に関する政令（平成三十一年政令第四十三号）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