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平成九年度における旧私立学校教職員共済組合法の規定による年金等の額の改定に関する政令</w:t>
        <w:br/>
        <w:t>（平成九年政令第百八十八号）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九年四月分以後、その額を、平成八年度における私立学校教職員共済組合からの旧法の規定による年金等の額の改定に関する政令（平成八年政令第百六十八号）第一条第一項の規定による年金の額の改定の基礎となった平均標準給与の月額に一・〇〇八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九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r>
    </w:p>
    <w:p>
      <w:pPr>
        <w:pStyle w:val="Heading6"/>
        <w:ind w:left="880"/>
      </w:pPr>
      <w:r>
        <w:t>一</w:t>
      </w:r>
    </w:p>
    <w:p>
      <w:pPr>
        <w:ind w:left="880"/>
      </w:pPr>
      <w: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Heading6"/>
        <w:ind w:left="880"/>
      </w:pPr>
      <w:r>
        <w:t>二</w:t>
      </w:r>
    </w:p>
    <w:p>
      <w:pPr>
        <w:ind w:left="880"/>
      </w:pPr>
      <w: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九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平成九年度における旧私立学校教職員共済組合法の規定による年金等の額の改定に関する政令</w:t>
      <w:br/>
      <w:tab/>
      <w:t>（平成九年政令第百八十八号）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平成九年度における旧私立学校教職員共済組合法の規定による年金等の額の改定に関する政令（平成九年政令第百八十八号）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