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平成九年度における財政運営のための公債の発行の特例等に関する法律</w:t>
        <w:br/>
        <w:t>（平成九年法律第二十七号）</w:t>
      </w:r>
    </w:p>
    <w:p>
      <w:pPr>
        <w:pStyle w:val="Heading4"/>
      </w:pPr>
      <w:r>
        <w:t>第一条（目的）</w:t>
      </w:r>
    </w:p>
    <w:p>
      <w:r>
        <w:t>この法律は、平成九年度における国の財政収支の状況にかんがみ、同年度における公債の発行の特例に関する措置及び一般会計からの厚生保険特別会計年金勘定への繰入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九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第三条（一般会計からの厚生保険特別会計年金勘定への繰入れの特例）</w:t>
      </w:r>
    </w:p>
    <w:p>
      <w:r>
        <w:t>政府は、平成九年度における一般会計からの厚生保険特別会計年金勘定への繰入れのうち国民年金法等の一部を改正する法律（昭和六十年法律第三十四号）附則第七十九条に規定する国庫負担に係るものについては、同年度に係る同条の規定による国庫負担金の額から七千二百億円を控除した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七千二百億円及び前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九年度における財政運営のための公債の発行の特例等に関する法律（平成九年法律第二十七号）第三条第二項の規定により繰り入れた金額を除く。）」とする。</w:t>
      </w:r>
    </w:p>
    <w:p>
      <w:r>
        <w:br w:type="page"/>
      </w:r>
    </w:p>
    <w:p>
      <w:pPr>
        <w:pStyle w:val="Heading1"/>
      </w:pPr>
      <w:r>
        <w:t>附　則</w:t>
      </w:r>
    </w:p>
    <w:p>
      <w:r>
        <w:t>この法律は、平成九年四月一日から施行する。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平成九年度における財政運営のための公債の発行の特例等に関する法律</w:t>
      <w:br/>
      <w:tab/>
      <w:t>（平成九年法律第二十七号）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平成九年度における財政運営のための公債の発行の特例等に関する法律（平成九年法律第二十七号）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