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平成二十七年九月七日から同月十一日までの間の暴風雨及び豪雨による災害についての激甚災害並びにこれに対し適用すべき措置の指定に関する政令</w:t>
        <w:br/>
        <w:t>（平成二十七年政令第三百六十一号）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第一条の激甚災害についての法第十二条第一項の政令で定める日は、令第二十四条の規定にかかわらず、平成二十九年四月二十九日とする。</w:t>
      </w:r>
    </w:p>
    <w:p>
      <w:r>
        <w:br w:type="page"/>
      </w:r>
    </w:p>
    <w:p>
      <w:pPr>
        <w:pStyle w:val="Heading1"/>
      </w:pPr>
      <w:r>
        <w:t>附　則</w:t>
      </w:r>
    </w:p>
    <w:p>
      <w:r>
        <w:t>この政令は、公布の日から施行する。</w:t>
      </w:r>
    </w:p>
    <w:p>
      <w:r>
        <w:br w:type="page"/>
      </w:r>
    </w:p>
    <w:p>
      <w:pPr>
        <w:pStyle w:val="Heading1"/>
      </w:pPr>
      <w:r>
        <w:t>附　則（平成二七年一〇月三〇日政令第三七〇号）</w:t>
      </w:r>
    </w:p>
    <w:p>
      <w:r>
        <w:t>この政令は、公布の日から施行する。</w:t>
      </w:r>
    </w:p>
    <w:p>
      <w:r>
        <w:br w:type="page"/>
      </w:r>
    </w:p>
    <w:p>
      <w:pPr>
        <w:pStyle w:val="Heading1"/>
      </w:pPr>
      <w:r>
        <w:t>附　則（平成二八年三月一一日政令第六二号）</w:t>
      </w:r>
    </w:p>
    <w:p>
      <w:r>
        <w:t>この政令は、公布の日から施行する。</w:t>
      </w:r>
    </w:p>
    <w:p>
      <w:r>
        <w:br w:type="page"/>
      </w:r>
    </w:p>
    <w:p>
      <w:pPr>
        <w:pStyle w:val="Heading1"/>
      </w:pPr>
      <w:r>
        <w:t>附　則（平成二八年四月二七日政令第二〇八号）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平成二十七年九月七日から同月十一日までの間の暴風雨及び豪雨による災害についての激甚災害並びにこれに対し適用すべき措置の指定に関する政令</w:t>
      <w:br/>
      <w:tab/>
      <w:t>（平成二十七年政令第三百六十一号）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平成二十七年九月七日から同月十一日までの間の暴風雨及び豪雨による災害についての激甚災害並びにこれに対し適用すべき措置の指定に関する政令（平成二十七年政令第三百六十一号）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