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平成二十七年六月二日から七月二十六日までの間の豪雨及び暴風雨による災害についての激甚災害並びにこれに対し適用すべき措置の指定に関する政令</w:t>
        <w:br/>
        <w:t>（平成二十七年政令第三百六号）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一</w:t>
        <w:br/>
        <w:t>上欄の豪雨とは、梅雨前線によるものをいう。</w:t>
      </w:r>
    </w:p>
    <w:p>
      <w:pPr>
        <w:pStyle w:val="ListBullet"/>
        <w:ind w:left="880"/>
      </w:pPr>
      <w:r>
        <w:t>二</w:t>
        <w:br/>
        <w:t>上欄の暴風雨とは、平成二十七年台風第九号、同年台風第十一号及び同年台風第十二号によるものをいう。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附則（平成二八年三月一一日政令第六二号）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平成二十七年六月二日から七月二十六日までの間の豪雨及び暴風雨による災害についての激甚災害並びにこれに対し適用すべき措置の指定に関する政令</w:t>
      <w:br/>
      <w:tab/>
      <w:t>（平成二十七年政令第三百六号）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平成二十七年六月二日から七月二十六日までの間の豪雨及び暴風雨による災害についての激甚災害並びにこれに対し適用すべき措置の指定に関する政令（平成二十七年政令第三百六号）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