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平成二十三年度における公債の発行の特例に関する法律</w:t>
        <w:br/>
        <w:t>（平成二十三年法律第百六号）</w:t>
      </w:r>
    </w:p>
    <w:p>
      <w:pPr>
        <w:pStyle w:val="Heading4"/>
      </w:pPr>
      <w:r>
        <w:t>第一条（目的）</w:t>
      </w:r>
    </w:p>
    <w:p>
      <w:r>
        <w:t>この法律は、平成二十三年度における国の財政収支の状況に鑑み、同年度における公債の発行の特例に関する措置を定めることにより、同年度の適切な財政運営に資することを目的とする。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及び東日本大震災からの復興のための施策を実施するために必要な財源の確保に関する特別措置法（平成二十三年法律第百十七号）第六十九条第一項から第三項までの規定により発行する公債のほか、平成二十三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前項の規定による公債の発行は、平成二十四年六月三十日までの間、行うことができる。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この法律は、公布の日から施行する。</w:t>
      </w:r>
    </w:p>
    <w:p>
      <w:pPr>
        <w:pStyle w:val="Heading5"/>
        <w:ind w:left="440"/>
      </w:pPr>
      <w:r>
        <w:t>２</w:t>
      </w:r>
    </w:p>
    <w:p>
      <w:pPr>
        <w:ind w:left="440"/>
      </w:pPr>
      <w:r>
        <w:t>政府は、子ども手当の支給等の見直しによる歳出の削減について、平成二十三年度の補正予算において必要な措置を講ずるものとする。</w:t>
      </w:r>
    </w:p>
    <w:p>
      <w:r>
        <w:br w:type="page"/>
      </w:r>
    </w:p>
    <w:p>
      <w:pPr>
        <w:pStyle w:val="Heading1"/>
      </w:pPr>
      <w:r>
        <w:t>附　則（平成二三年一二月二日法律第一一七号）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平成二十三年度における公債の発行の特例に関する法律</w:t>
      <w:br/>
      <w:tab/>
      <w:t>（平成二十三年法律第百六号）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平成二十三年度における公債の発行の特例に関する法律（平成二十三年法律第百六号）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