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w:t>
        <w:br/>
        <w:t>（平成二十九年環境省令第二十二号）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第二条（平成二十九年七月九州北部豪雨により特に必要となった一般廃棄物の処理を行う場合に係る法第十五条の二の五第一項の環境省令で定める一般廃棄物の特例）</w:t>
      </w:r>
    </w:p>
    <w:p>
      <w:r>
        <w:t>産業廃棄物処理施設の設置者が、平成二十九年七月九州北部豪雨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Heading6"/>
        <w:ind w:left="880"/>
      </w:pPr>
      <w:r>
        <w:t>一</w:t>
      </w:r>
    </w:p>
    <w:p>
      <w:pPr>
        <w:ind w:left="880"/>
      </w:pPr>
      <w:r>
        <w:t>廃プラスチック類の破砕施設</w:t>
      </w:r>
    </w:p>
    <w:p>
      <w:pPr>
        <w:pStyle w:val="Heading6"/>
        <w:ind w:left="880"/>
      </w:pPr>
      <w:r>
        <w:t>二</w:t>
      </w:r>
    </w:p>
    <w:p>
      <w:pPr>
        <w:ind w:left="880"/>
      </w:pPr>
      <w:r>
        <w:t>廃プラスチック類の焼却施設</w:t>
      </w:r>
    </w:p>
    <w:p>
      <w:pPr>
        <w:pStyle w:val="Heading6"/>
        <w:ind w:left="880"/>
      </w:pPr>
      <w:r>
        <w:t>三</w:t>
      </w:r>
    </w:p>
    <w:p>
      <w:pPr>
        <w:ind w:left="880"/>
      </w:pPr>
      <w:r>
        <w:t>令第二条第二号に掲げる廃棄物の破砕施設</w:t>
      </w:r>
    </w:p>
    <w:p>
      <w:pPr>
        <w:pStyle w:val="Heading6"/>
        <w:ind w:left="880"/>
      </w:pPr>
      <w:r>
        <w:t>四</w:t>
      </w:r>
    </w:p>
    <w:p>
      <w:pPr>
        <w:ind w:left="880"/>
      </w:pPr>
      <w:r>
        <w:t>令第二条第九号に掲げる廃棄物の破砕施設</w:t>
      </w:r>
    </w:p>
    <w:p>
      <w:pPr>
        <w:pStyle w:val="Heading6"/>
        <w:ind w:left="880"/>
      </w:pPr>
      <w:r>
        <w:t>五</w:t>
      </w:r>
    </w:p>
    <w:p>
      <w:pPr>
        <w:ind w:left="880"/>
      </w:pPr>
      <w:r>
        <w:t>石綿含有産業廃棄物の溶融施設</w:t>
      </w:r>
    </w:p>
    <w:p>
      <w:pPr>
        <w:pStyle w:val="Heading6"/>
        <w:ind w:left="880"/>
      </w:pPr>
      <w:r>
        <w:t>六</w:t>
      </w:r>
    </w:p>
    <w:p>
      <w:pPr>
        <w:ind w:left="880"/>
      </w:pPr>
      <w:r>
        <w:t>令第二条第一号から第四号の二まで及び第十一号に掲げる廃棄物の焼却施設</w:t>
      </w:r>
    </w:p>
    <w:p>
      <w:pPr>
        <w:pStyle w:val="Heading6"/>
        <w:ind w:left="880"/>
      </w:pPr>
      <w:r>
        <w:t>七</w:t>
      </w:r>
    </w:p>
    <w:p>
      <w:pPr>
        <w:ind w:left="880"/>
      </w:pPr>
      <w:r>
        <w:t>令第七条第十四号ロに掲げる産業廃棄物の最終処分場</w:t>
      </w:r>
    </w:p>
    <w:p>
      <w:pPr>
        <w:pStyle w:val="Heading6"/>
        <w:ind w:left="880"/>
      </w:pPr>
      <w:r>
        <w:t>八</w:t>
      </w:r>
    </w:p>
    <w:p>
      <w:pPr>
        <w:ind w:left="880"/>
      </w:pPr>
      <w:r>
        <w:t>令第七条第十四号ハに掲げる産業廃棄物の最終処分場</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平成二十九年環境省令第二十二号）第二条第一項第一号から第六号まで」と、規則第十二条の七の十七中「前条第四号の二」とあるのは「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平成二十九年環境省令第二十二号）第二条第一項第五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この省令は、平成三十一年七月三十一日限り、その効力を失う。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w:t>
      <w:br/>
      <w:tab/>
      <w:t>（平成二十九年環境省令第二十二号）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平成二十九年環境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