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平成二十九年六月七日から七月二十七日までの間の豪雨及び暴風雨による災害についての激甚災害並びにこれに対し適用すべき措置の指定に関する政令</w:t>
        <w:br/>
        <w:t>（平成二十九年政令第二百十九号）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t>法第五条、第六条及び第二十四条第二項から第四項までに規定する措置並びに次に掲げる市町村の区域に係る激甚災害にあっては、それぞれに定める措置</w:t>
      </w:r>
    </w:p>
    <w:p>
      <w:pPr>
        <w:pStyle w:val="ListBullet"/>
        <w:ind w:left="880"/>
      </w:pPr>
      <w:r>
        <w:t>イ</w:t>
        <w:br/>
        <w:t>広島県山県郡北広島町、福岡県田川郡添田町、長崎県壱岐市、熊本県阿蘇郡南小国町及び球磨郡水上村並びに大分県日田市</w:t>
        <w:br/>
        <w:br/>
        <w:br/>
        <w:t>法第三条、第四条並びに第二十四条第一項、第三項及び第四項に規定する措置</w:t>
      </w:r>
    </w:p>
    <w:p>
      <w:pPr>
        <w:pStyle w:val="ListBullet"/>
        <w:ind w:left="880"/>
      </w:pPr>
      <w:r>
        <w:t>ロ</w:t>
        <w:br/>
        <w:t>福岡県朝倉市及び朝倉郡東峰村</w:t>
        <w:br/>
        <w:br/>
        <w:br/>
        <w:t>法第三条、第四条、第十二条並びに第二十四条第一項、第三項及び第四項に規定する措置</w:t>
      </w:r>
    </w:p>
    <w:p>
      <w:pPr>
        <w:pStyle w:val="ListBullet"/>
        <w:ind w:left="880"/>
      </w:pPr>
      <w:r>
        <w:t>一</w:t>
        <w:br/>
        <w:t>上欄の豪雨とは、梅雨前線によるものをいう。</w:t>
      </w:r>
    </w:p>
    <w:p>
      <w:pPr>
        <w:pStyle w:val="ListBullet"/>
        <w:ind w:left="880"/>
      </w:pPr>
      <w:r>
        <w:t>二</w:t>
        <w:br/>
        <w:t>上欄の暴風雨とは、平成二十九年台風第三号によるものをいう。</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以下「令」という。）第一条第一項及び第四十三条第一項の規定の適用並びに都道府県の負担額の算定についての令第七条第一項の規定の適用については、これらの規定にいう激甚災害には含まれないものとする。</w:t>
      </w:r>
    </w:p>
    <w:p>
      <w:pPr>
        <w:pStyle w:val="Heading4"/>
      </w:pPr>
      <w:r>
        <w:t>第三条（災害関係保証に係る期限の特例）</w:t>
      </w:r>
    </w:p>
    <w:p>
      <w:r>
        <w:t>第一条の激甚災害についての法第十二条第一項の政令で定める日は、令第二十四条の規定にかかわらず、平成三十一年二月九日とする。</w:t>
      </w:r>
    </w:p>
    <w:p>
      <w:r>
        <w:br w:type="page"/>
      </w:r>
    </w:p>
    <w:p>
      <w:pPr>
        <w:pStyle w:val="Heading1"/>
      </w:pPr>
      <w:r>
        <w:t>附　則</w:t>
      </w:r>
    </w:p>
    <w:p>
      <w:r>
        <w:t>この政令は、公布の日から施行する。</w:t>
      </w:r>
    </w:p>
    <w:p>
      <w:r>
        <w:br w:type="page"/>
      </w:r>
    </w:p>
    <w:p>
      <w:pPr>
        <w:pStyle w:val="Heading1"/>
      </w:pPr>
      <w:r>
        <w:t>附則（平成三〇年二月九日政令第三二号）</w:t>
      </w:r>
    </w:p>
    <w:p>
      <w:r>
        <w:t>この政令は、公布の日から施行する。</w:t>
      </w:r>
    </w:p>
    <w:p>
      <w:r>
        <w:br w:type="page"/>
      </w:r>
    </w:p>
    <w:p>
      <w:pPr>
        <w:pStyle w:val="Heading1"/>
      </w:pPr>
      <w:r>
        <w:t>附則（平成三〇年三月一四日政令第四六号）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平成二十九年六月七日から七月二十七日までの間の豪雨及び暴風雨による災害についての激甚災害並びにこれに対し適用すべき措置の指定に関する政令</w:t>
      <w:br/>
      <w:tab/>
      <w:t>（平成二十九年政令第二百十九号）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平成二十九年六月七日から七月二十七日までの間の豪雨及び暴風雨による災害についての激甚災害並びにこれに対し適用すべき措置の指定に関する政令（平成二十九年政令第二百十九号）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