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平成二十九年等における特定地域に係る激甚災害及びこれに対し適用すべき措置の指定に関する政令</w:t>
        <w:br/>
        <w:t>（平成三十年政令第四十七号）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5"/>
        <w:ind w:left="440"/>
      </w:pPr>
      <w:r>
        <w:t>イ</w:t>
      </w:r>
    </w:p>
    <w:p>
      <w:pPr>
        <w:ind w:left="440"/>
      </w:pPr>
      <w:r>
        <w:t>鹿児島県大島郡大和村及び宇検村</w:t>
      </w:r>
    </w:p>
    <w:p>
      <w:pPr>
        <w:pStyle w:val="Heading5"/>
        <w:ind w:left="440"/>
      </w:pPr>
      <w:r>
        <w:t>ロ</w:t>
      </w:r>
    </w:p>
    <w:p>
      <w:pPr>
        <w:ind w:left="440"/>
      </w:pPr>
      <w:r>
        <w:t>山梨県南巨摩郡身延町、兵庫県美方郡香美町、奈良県吉野郡野迫川村、徳島県名西郡神山町並びに鹿児島県大島郡瀬戸内町及び喜界町</w:t>
      </w:r>
    </w:p>
    <w:p>
      <w:pPr>
        <w:pStyle w:val="Heading5"/>
        <w:ind w:left="440"/>
      </w:pPr>
      <w:r>
        <w:t>イ</w:t>
      </w:r>
    </w:p>
    <w:p>
      <w:pPr>
        <w:ind w:left="440"/>
      </w:pPr>
      <w:r>
        <w:t>兵庫県神崎郡市川町</w:t>
      </w:r>
    </w:p>
    <w:p>
      <w:pPr>
        <w:pStyle w:val="Heading5"/>
        <w:ind w:left="440"/>
      </w:pPr>
      <w:r>
        <w:t>ロ</w:t>
      </w:r>
    </w:p>
    <w:p>
      <w:pPr>
        <w:ind w:left="440"/>
      </w:pPr>
      <w:r>
        <w:t>長野県上水内郡小川村及び岐阜県美濃市</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平成二十九年等における特定地域に係る激甚災害及びこれに対し適用すべき措置の指定に関する政令</w:t>
      <w:br/>
      <w:tab/>
      <w:t>（平成三十年政令第四十七号）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平成二十九年等における特定地域に係る激甚災害及びこれに対し適用すべき措置の指定に関する政令（平成三十年政令第四十七号）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