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平成二十二年度歳入歳出の決算上の剰余金の処理の特例に関する法律</w:t>
        <w:br/>
        <w:t>（平成二十三年法律第八十八号）</w:t>
      </w:r>
    </w:p>
    <w:p>
      <w:r>
        <w:t>財政法（昭和二十二年法律第三十四号）第六条第一項の規定は、平成二十二年度の一般会計歳入歳出の決算上の剰余金については、適用しない。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平成二十二年度歳入歳出の決算上の剰余金の処理の特例に関する法律</w:t>
      <w:br/>
      <w:tab/>
      <w:t>（平成二十三年法律第八十八号）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平成二十二年度歳入歳出の決算上の剰余金の処理の特例に関する法律（平成二十三年法律第八十八号）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