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平成二十五年六月八日から八月九日までの間の豪雨及び暴風雨による災害についての激甚災害並びにこれに対し適用すべき措置の指定に関する政令</w:t>
        <w:br/>
        <w:t>（平成二十五年政令第二百三十九号）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則（平成二五年九月六日政令第二六〇号）</w:t>
      </w:r>
    </w:p>
    <w:p>
      <w:r>
        <w:t>この政令は、公布の日から施行する。</w:t>
      </w:r>
    </w:p>
    <w:p>
      <w:r>
        <w:br w:type="page"/>
      </w:r>
    </w:p>
    <w:p>
      <w:pPr>
        <w:pStyle w:val="Heading1"/>
      </w:pPr>
      <w:r>
        <w:t>附　則（平成二六年三月一四日政令第六四号）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平成二十五年六月八日から八月九日までの間の豪雨及び暴風雨による災害についての激甚災害並びにこれに対し適用すべき措置の指定に関する政令</w:t>
      <w:br/>
      <w:tab/>
      <w:t>（平成二十五年政令第二百三十九号）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平成二十五年六月八日から八月九日までの間の豪雨及び暴風雨による災害についての激甚災害並びにこれに対し適用すべき措置の指定に関する政令（平成二十五年政令第二百三十九号）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