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平成二十八年九月十七日から同月二十一日までの間の暴風雨及び豪雨による災害についての激甚災害並びにこれに対し適用すべき措置の指定に関する政令</w:t>
        <w:br/>
        <w:t>（平成二十八年政令第三百三十六号）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　則（平成二九年三月一〇日政令第三二号）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平成二十八年九月十七日から同月二十一日までの間の暴風雨及び豪雨による災害についての激甚災害並びにこれに対し適用すべき措置の指定に関する政令</w:t>
      <w:br/>
      <w:tab/>
      <w:t>（平成二十八年政令第三百三十六号）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平成二十八年九月十七日から同月二十一日までの間の暴風雨及び豪雨による災害についての激甚災害並びにこれに対し適用すべき措置の指定に関する政令（平成二十八年政令第三百三十六号）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