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平成二十年度における公債の発行の特例に関する法律</w:t>
        <w:br/>
        <w:t>（平成二十年法律第二十四号）</w:t>
      </w:r>
    </w:p>
    <w:p>
      <w:pPr>
        <w:pStyle w:val="Heading4"/>
      </w:pPr>
      <w:r>
        <w:t>第一条（目的）</w:t>
      </w:r>
    </w:p>
    <w:p>
      <w:r>
        <w:t>この法律は、平成二十年度における国の財政収支の状況にかんがみ、同年度における公債の発行の特例に関する措置を定めることにより、同年度の適切な財政運営に資することを目的とする。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二十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前項の規定による公債の発行は、平成二十一年六月三十日までの間、行うことができる。</w:t>
        <w:br/>
        <w:t>この場合において、同年四月一日以後発行される同項の公債に係る収入は、平成二十年度所属の歳入とする。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平成二十年度における公債の発行の特例に関する法律</w:t>
      <w:br/>
      <w:tab/>
      <w:t>（平成二十年法律第二十四号）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平成二十年度における公債の発行の特例に関する法律（平成二十年法律第二十四号）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