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平成二年度における私立学校教職員共済組合からの旧法の規定による年金等の額の改定に関する政令</w:t>
        <w:br/>
        <w:t>（平成二年政令第二百六号）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二年四月分以後、その額を、平成元年度における私立学校教職員共済組合からの旧法の規定による年金等の額の改定に関する政令（平成元年政令第二百十五号）第一条第一項の規定による年金の額の改定の基礎となった平均標準給与の月額に一・〇二九八を乗じ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掲げる額に満たないときは、平成二年四月分以後、その額を当該各号に掲げる額に改定する。</w:t>
      </w:r>
    </w:p>
    <w:p>
      <w:pPr>
        <w:pStyle w:val="ListBullet"/>
        <w:ind w:left="880"/>
      </w:pPr>
      <w:r>
        <w:t>一</w:t>
        <w:br/>
        <w:t>退職年金</w:t>
        <w:br/>
        <w:br/>
        <w:br/>
        <w:t>次のイ又はロに掲げる年金の区分に応じそれぞれイ又はロに掲げる額</w:t>
      </w:r>
    </w:p>
    <w:p>
      <w:pPr>
        <w:pStyle w:val="ListBullet"/>
        <w:ind w:left="880"/>
      </w:pPr>
      <w:r>
        <w:t>二</w:t>
        <w:br/>
        <w:t>障害年金</w:t>
        <w:br/>
        <w:br/>
        <w:br/>
        <w:t>次のイからニまでに掲げる年金の区分に応じそれぞれイからニまでに掲げる額</w:t>
      </w:r>
    </w:p>
    <w:p>
      <w:pPr>
        <w:pStyle w:val="ListBullet"/>
        <w:ind w:left="880"/>
      </w:pPr>
      <w:r>
        <w:t>三</w:t>
        <w:br/>
        <w:t>遺族年金</w:t>
        <w:br/>
        <w:br/>
        <w:br/>
        <w:t>六十六万七千百円</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4"/>
      </w:pPr>
      <w:r>
        <w:t>第三条（旧法の規定による遺族年金に係る寡婦加算）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掲げる額を加えた額をもって遺族年金の額とする。</w:t>
      </w:r>
    </w:p>
    <w:p>
      <w:pPr>
        <w:pStyle w:val="ListBullet"/>
        <w:ind w:left="880"/>
      </w:pPr>
      <w:r>
        <w:t>一</w:t>
        <w:br/>
        <w:t>遺族である子が一人いる場合</w:t>
        <w:br/>
        <w:br/>
        <w:br/>
        <w:t>十三万九百円</w:t>
      </w:r>
    </w:p>
    <w:p>
      <w:pPr>
        <w:pStyle w:val="ListBullet"/>
        <w:ind w:left="880"/>
      </w:pPr>
      <w:r>
        <w:t>二</w:t>
        <w:br/>
        <w:t>遺族である子が二人以上いる場合</w:t>
        <w:br/>
        <w:br/>
        <w:br/>
        <w:t>二十二万九千二百円</w:t>
      </w:r>
    </w:p>
    <w:p>
      <w:pPr>
        <w:pStyle w:val="ListBullet"/>
        <w:ind w:left="880"/>
      </w:pPr>
      <w:r>
        <w:t>三</w:t>
        <w:br/>
        <w:t>六十歳以上である場合（前二号に該当する場合を除く。）</w:t>
        <w:br/>
        <w:br/>
        <w:br/>
        <w:t>十三万九百円</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平成二年度における旧令による共済組合等からの年金受給者のための特別措置法等の規定による年金の額の改定に関する政令（平成二年政令第二百五号）第二条第七項各号に掲げる給付（その全額の支給を停止されている給付を除く。）の支給を受けることができるときは、その受けることができる間は、第一項の規定による加算は行わない。</w:t>
        <w:br/>
        <w:t>ただし、改定後の年金額が六十九万円に満たないときは、この限りでない。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六十九万円を超えるときにおいては、同項の規定にかかわらず、六十九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平成二年四月分以後、その額を、昭和四十四年改定法第三条の規定による改定前の年金額にそれぞれ対応する別表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前項の規定の適用を受ける年金のうち、六十五歳以上の者に支給する年金で同項の規定による改定後の年金額が九十五万四千円に満たないものについては、その額を九十五万四千円とする。</w:t>
      </w:r>
    </w:p>
    <w:p>
      <w:pPr>
        <w:pStyle w:val="Heading5"/>
        <w:ind w:left="440"/>
      </w:pPr>
      <w:r>
        <w:t>３</w:t>
      </w:r>
    </w:p>
    <w:p>
      <w:pPr>
        <w:ind w:left="440"/>
      </w:pPr>
      <w:r>
        <w:t>第一項の規定の適用を受ける年金で同項の規定による改定後の年金額が九十五万四千円に満たないものを受ける者が六十五歳に達したときは、その達した日の属する月の翌月分以後、その額を九十五万四千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平成二年度における私立学校教職員共済組合からの旧法の規定による年金等の額の改定に関する政令</w:t>
      <w:br/>
      <w:tab/>
      <w:t>（平成二年政令第二百六号）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平成二年度における私立学校教職員共済組合からの旧法の規定による年金等の額の改定に関する政令（平成二年政令第二百六号）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