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平成二年度における私立学校教職員共済組合からの旧法の規定による年金等の額の改定に関する政令</w:t>
        <w:br/>
        <w:t>（平成二年政令第二百六号）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二年四月分以後、その額を、平成元年度における私立学校教職員共済組合からの旧法の規定による年金等の額の改定に関する政令（平成元年政令第二百十五号）第一条第一項の規定による年金の額の改定の基礎となった平均標準給与の月額に一・〇二九八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掲げ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掲げる額に満たないときは、平成二年四月分以後、その額を当該各号に掲げ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前条の規定の適用を受ける退職年金又は障害年金を受ける者が六十五歳に達した場合において、その者が受ける同条の規定による改定後の年金額が前項第一号イ又は第二号イからハ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旧法遺族年金受給者」という。）が妻であり、かつ、次の各号のいずれかに該当する場合には、これらの規定により算定した額（以下この条において「改定後の年金額」という。）に当該各号に掲げる額を加えた額をもって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Heading6"/>
        <w:ind w:left="880"/>
      </w:pPr>
      <w:r>
        <w:t>二</w:t>
      </w:r>
    </w:p>
    <w:p>
      <w:pPr>
        <w:ind w:left="880"/>
      </w:pPr>
      <w:r>
        <w:t>国家公務員等共済組合法等の一部を改正する法律（昭和六十年法律第百五号。以下「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平成二年度における旧令による共済組合等からの年金受給者のための特別措置法等の規定による年金の額の改定に関する政令（平成二年政令第二百五号）第二条第七項各号に掲げる給付（その全額の支給を停止されている給付を除く。）の支給を受けることができるときは、その受けることができる間は、第一項の規定による加算は行わない。</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六十九万円を超えるときにおいては、同項の規定にかかわらず、六十九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平成二年四月分以後、その額を、昭和四十四年改定法第三条の規定による改定前の年金額にそれぞれ対応する別表の下欄に掲げる額に改定する。</w:t>
      </w:r>
    </w:p>
    <w:p>
      <w:pPr>
        <w:pStyle w:val="Heading5"/>
        <w:ind w:left="440"/>
      </w:pPr>
      <w:r>
        <w:t>２</w:t>
      </w:r>
    </w:p>
    <w:p>
      <w:pPr>
        <w:ind w:left="440"/>
      </w:pPr>
      <w:r>
        <w:t>前項の規定の適用を受ける年金のうち、六十五歳以上の者に支給する年金で同項の規定による改定後の年金額が九十五万四千円に満たないものについては、その額を九十五万四千円とする。</w:t>
      </w:r>
    </w:p>
    <w:p>
      <w:pPr>
        <w:pStyle w:val="Heading5"/>
        <w:ind w:left="440"/>
      </w:pPr>
      <w:r>
        <w:t>３</w:t>
      </w:r>
    </w:p>
    <w:p>
      <w:pPr>
        <w:ind w:left="440"/>
      </w:pPr>
      <w:r>
        <w:t>第一項の規定の適用を受ける年金で同項の規定による改定後の年金額が九十五万四千円に満たないものを受ける者が六十五歳に達したときは、その達した日の属する月の翌月分以後、その額を九十五万四千円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平成二年度における私立学校教職員共済組合からの旧法の規定による年金等の額の改定に関する政令</w:t>
      <w:br/>
      <w:tab/>
      <w:t>（平成二年政令第二百六号）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平成二年度における私立学校教職員共済組合からの旧法の規定による年金等の額の改定に関する政令（平成二年政令第二百六号）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