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平成五年度における旧令による共済組合等からの年金受給者のための特別措置法等の規定による年金の額の改定に関する政令</w:t>
        <w:br/>
        <w:t>（平成五年政令第百九十号）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平成四年度改定令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五年四月分以後、その額を、平成四年度改定令第二条の規定により改定された年金額の算定の基礎となっている平成四年度改定令別表第一の仮定俸給（同条第四項、第九項又は第十項の規定により同条第四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次の各号に掲げる年金については、前三項の規定の適用を受けて改定された額が当該各号に定める額に満たないときは、平成五年四月分以後、その額を、当該各号に定める額に改定する。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五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四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五年四月分以後、その額を、平成四年度改定令第三条の規定により改定された年金額の算定の基礎となっている平成四年度改定令別表第一の仮定俸給（同条第三項の規定又は同条第九項において準用する平成四年度改定令第二条第十項の規定により平成四年度改定令第三条第三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次の各号に掲げる年金については、前二項の規定の適用を受けて改定された額が当該各号に定める額に満たないときは、平成五年四月分以後、その額を、当該各号に定める額に改定する。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二万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扶養遺族一人につき一万二千円（そのうち二人までについては、一人につき六万六千円）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五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五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第二条第二項から第十項までの規定は第一項の規定の適用を受ける年金について、第三条第二項から第九項までの規定は第二項の規定の適用を受ける年金について、それぞれ準用する。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平成五年度における旧令による共済組合等からの年金受給者のための特別措置法等の規定による年金の額の改定に関する政令</w:t>
      <w:br/>
      <w:tab/>
      <w:t>（平成五年政令第百九十号）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平成五年度における旧令による共済組合等からの年金受給者のための特別措置法等の規定による年金の額の改定に関する政令（平成五年政令第百九十号）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