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平成五年度における私立学校教職員共済組合からの旧法の規定による年金等の額の改定に関する政令</w:t>
        <w:br/>
        <w:t>（平成五年政令第百九十一号）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五年四月分以後、その額を、平成四年度における私立学校教職員共済組合からの旧法の規定による年金等の額の改定に関する政令（平成四年政令第二百二十二号）第一条第一項の規定による年金の額の改定の基礎となった平均標準給与の月額に一・〇二六六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五年四月分以後、その額を当該各号に定める額に改定する。</w:t>
      </w:r>
    </w:p>
    <w:p>
      <w:pPr>
        <w:pStyle w:val="ListBullet"/>
        <w:ind w:left="880"/>
      </w:pPr>
      <w:r>
        <w:t>一</w:t>
        <w:br/>
        <w:t>退職年金</w:t>
        <w:br/>
        <w:br/>
        <w:br/>
        <w:t>次のイ又はロに掲げる年金の区分に応じそれぞれイ又はロに定める額</w:t>
      </w:r>
    </w:p>
    <w:p>
      <w:pPr>
        <w:pStyle w:val="ListBullet"/>
        <w:ind w:left="880"/>
      </w:pPr>
      <w:r>
        <w:t>二</w:t>
        <w:br/>
        <w:t>障害年金</w:t>
        <w:br/>
        <w:br/>
        <w:br/>
        <w:t>次のイからハまでに掲げる年金の区分に応じそれぞれイからハまでに定める額</w:t>
      </w:r>
    </w:p>
    <w:p>
      <w:pPr>
        <w:pStyle w:val="ListBullet"/>
        <w:ind w:left="880"/>
      </w:pPr>
      <w:r>
        <w:t>三</w:t>
        <w:br/>
        <w:t>遺族年金</w:t>
        <w:br/>
        <w:br/>
        <w:br/>
        <w:t>次のイ又はロに掲げる年金の区分に応じそれぞれイ又はロに定める額</w:t>
      </w:r>
    </w:p>
    <w:p>
      <w:pPr>
        <w:pStyle w:val="Heading5"/>
        <w:ind w:left="440"/>
      </w:pPr>
      <w:r>
        <w:t>２</w:t>
      </w:r>
    </w:p>
    <w:p>
      <w:pPr>
        <w:ind w:left="440"/>
      </w:pPr>
      <w:r>
        <w:t>前条の規定の適用を受ける年金を受ける者が七十五歳に達した場合においてその者が受ける同条の規定による改定後の年金額が前項第一号イ、第二号イ（1）から（4）まで若しくは第三号イに掲げる年金の区分に応じ当該年金につき定める額に満たないとき、又は同条の規定の適用を受ける障害年金を受ける者が六十五歳に達した場合においてその者が受ける同条の規定による改定後の年金額が同項第二号ロ（1）から（4）までに掲げる年金の区分に応じ当該年金につき定める額に満たないときは、それぞれ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十四万千八百円</w:t>
      </w:r>
    </w:p>
    <w:p>
      <w:pPr>
        <w:pStyle w:val="ListBullet"/>
        <w:ind w:left="880"/>
      </w:pPr>
      <w:r>
        <w:t>二</w:t>
        <w:br/>
        <w:t>遺族である子が二人以上いる場合</w:t>
        <w:br/>
        <w:br/>
        <w:br/>
        <w:t>二十四万八千二百円</w:t>
      </w:r>
    </w:p>
    <w:p>
      <w:pPr>
        <w:pStyle w:val="ListBullet"/>
        <w:ind w:left="880"/>
      </w:pPr>
      <w:r>
        <w:t>三</w:t>
        <w:br/>
        <w:t>六十歳以上である場合（前二号に該当する場合を除く。）</w:t>
        <w:br/>
        <w:br/>
        <w:br/>
        <w:t>十四万千八百円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br/>
        <w:t>ただし、改定後の年金額が七十四万円に満たないときは、この限りでない。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四万円を超えるときにおいては、同項の規定にかかわらず、七十四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五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前項の規定の適用を受ける年金のうち、七十五歳以上の者に支給する年金で同項の規定による改定後の年金額が百六万円に満たないものについては、その額を百六万円とする。</w:t>
      </w:r>
    </w:p>
    <w:p>
      <w:pPr>
        <w:pStyle w:val="Heading5"/>
        <w:ind w:left="440"/>
      </w:pPr>
      <w:r>
        <w:t>３</w:t>
      </w:r>
    </w:p>
    <w:p>
      <w:pPr>
        <w:ind w:left="440"/>
      </w:pPr>
      <w:r>
        <w:t>第一項の規定の適用を受ける年金で同項の規定による改定後の年金額が百六万円に満たないものを受ける者が七十五歳に達したときは、その達した日の属する月の翌月分以後、その額を百六万円に改定する。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平成五年度における私立学校教職員共済組合からの旧法の規定による年金等の額の改定に関する政令</w:t>
      <w:br/>
      <w:tab/>
      <w:t>（平成五年政令第百九十一号）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平成五年度における私立学校教職員共済組合からの旧法の規定による年金等の額の改定に関する政令（平成五年政令第百九十一号）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