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平成五年度における私立学校教職員共済組合からの旧法の規定による年金等の額の改定に関する政令</w:t>
        <w:br/>
        <w:t>（平成五年政令第百九十一号）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五年四月分以後、その額を、平成四年度における私立学校教職員共済組合からの旧法の規定による年金等の額の改定に関する政令（平成四年政令第二百二十二号）第一条第一項の規定による年金の額の改定の基礎となった平均標準給与の月額に一・〇二六六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五年四月分以後、その額を当該各号に定め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年金を受ける者が七十五歳に達した場合においてその者が受ける同条の規定による改定後の年金額が前項第一号イ、第二号イ（1）から（4）まで若しくは第三号イに掲げる年金の区分に応じ当該年金につき定める額に満たないとき、又は同条の規定の適用を受ける障害年金を受ける者が六十五歳に達した場合においてその者が受ける同条の規定による改定後の年金額が同項第二号ロ（1）から（4）までに掲げる年金の区分に応じ当該年金につき定める額に満たないときは、それぞれ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四万円を超えるときにおいては、同項の規定にかかわらず、七十四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五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前項の規定の適用を受ける年金のうち、七十五歳以上の者に支給する年金で同項の規定による改定後の年金額が百六万円に満たないものについては、その額を百六万円とする。</w:t>
      </w:r>
    </w:p>
    <w:p>
      <w:pPr>
        <w:pStyle w:val="Heading5"/>
        <w:ind w:left="440"/>
      </w:pPr>
      <w:r>
        <w:t>３</w:t>
      </w:r>
    </w:p>
    <w:p>
      <w:pPr>
        <w:ind w:left="440"/>
      </w:pPr>
      <w:r>
        <w:t>第一項の規定の適用を受ける年金で同項の規定による改定後の年金額が百六万円に満たないものを受ける者が七十五歳に達したときは、その達した日の属する月の翌月分以後、その額を百六万円に改定する。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平成五年度における私立学校教職員共済組合からの旧法の規定による年金等の額の改定に関する政令</w:t>
      <w:br/>
      <w:tab/>
      <w:t>（平成五年政令第百九十一号）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平成五年度における私立学校教職員共済組合からの旧法の規定による年金等の額の改定に関する政令（平成五年政令第百九十一号）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