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平成八年度における財政運営のための公債の発行の特例等に関する法律</w:t>
        <w:br/>
        <w:t>（平成八年法律第四十一号）</w:t>
      </w:r>
    </w:p>
    <w:p>
      <w:pPr>
        <w:pStyle w:val="Heading4"/>
      </w:pPr>
      <w:r>
        <w:t>第一条（目的）</w:t>
      </w:r>
    </w:p>
    <w:p>
      <w:r>
        <w:t>この法律は、平成八年度における国の財政収支の状況にかんがみ、同年度における公債の発行の特例に関する措置、一般会計からの厚生保険特別会計年金勘定への繰入れの特例に関する措置及び外国為替資金特別会計からの一般会計への繰入れの特別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及び所得税法及び消費税法の一部を改正する法律の施行等による租税収入の減少を補うための平成六年度から平成八年度までの公債の発行の特例等に関する法律（平成六年法律第百八号）第一条第三項の規定により発行する公債のほか、平成八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前項の規定による公債の発行は、平成九年六月三十日までの間、行うことができる。</w:t>
        <w:br/>
        <w:t>この場合において、同年四月一日以後発行される同項の公債に係る収入は、平成八年度所属の歳入とする。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八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八千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八千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八年度における財政運営のための公債の発行の特例等に関する法律（平成八年法律第四十一号）第三条第二項の規定により繰り入れた金額を除く。）」とする。</w:t>
      </w:r>
    </w:p>
    <w:p>
      <w:pPr>
        <w:pStyle w:val="Heading4"/>
      </w:pPr>
      <w:r>
        <w:t>第四条（外国為替資金特別会計からの一般会計への繰入れ）</w:t>
      </w:r>
    </w:p>
    <w:p>
      <w:r>
        <w:t>政府は、平成八年度において、外国為替資金特別会計法（昭和二十六年法律第五十六号）第十三条の規定による外国為替資金特別会計からの一般会計の歳入への繰入れをするほか、同特別会計から、二千億円を限り、一般会計に繰り入れることができる。</w:t>
      </w:r>
    </w:p>
    <w:p>
      <w:pPr>
        <w:pStyle w:val="Heading5"/>
        <w:ind w:left="440"/>
      </w:pPr>
      <w:r>
        <w:t>２</w:t>
      </w:r>
    </w:p>
    <w:p>
      <w:pPr>
        <w:ind w:left="440"/>
      </w:pPr>
      <w:r>
        <w:t>前項の規定による繰入金は、外国為替資金特別会計の歳出とする。</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平成八年度における財政運営のための公債の発行の特例等に関する法律</w:t>
      <w:br/>
      <w:tab/>
      <w:t>（平成八年法律第四十一号）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平成八年度における財政運営のための公債の発行の特例等に関する法律（平成八年法律第四十一号）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